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53" w:rsidRDefault="002A38C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noProof/>
          <w:sz w:val="40"/>
          <w:szCs w:val="4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643890</wp:posOffset>
            </wp:positionH>
            <wp:positionV relativeFrom="page">
              <wp:posOffset>311400</wp:posOffset>
            </wp:positionV>
            <wp:extent cx="3006090" cy="467995"/>
            <wp:effectExtent l="0" t="0" r="0" b="0"/>
            <wp:wrapNone/>
            <wp:docPr id="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46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4797643</wp:posOffset>
            </wp:positionH>
            <wp:positionV relativeFrom="paragraph">
              <wp:posOffset>-182240</wp:posOffset>
            </wp:positionV>
            <wp:extent cx="1175385" cy="376193"/>
            <wp:effectExtent l="0" t="0" r="0" b="0"/>
            <wp:wrapNone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3761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40"/>
          <w:szCs w:val="40"/>
        </w:rPr>
      </w:pPr>
    </w:p>
    <w:p w:rsidR="00236053" w:rsidRPr="003E0E02" w:rsidRDefault="003E0E02" w:rsidP="003E0E02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3E0E02">
        <w:rPr>
          <w:rFonts w:ascii="Arial Narrow" w:eastAsia="Arial Narrow" w:hAnsi="Arial Narrow" w:cs="Arial Narrow"/>
          <w:b/>
          <w:sz w:val="32"/>
          <w:szCs w:val="32"/>
        </w:rPr>
        <w:t>Stížnosti na poskytování sociální služby</w:t>
      </w:r>
    </w:p>
    <w:p w:rsidR="00236053" w:rsidRDefault="002A38C0">
      <w:pPr>
        <w:spacing w:line="276" w:lineRule="auto"/>
        <w:jc w:val="both"/>
        <w:rPr>
          <w:rFonts w:ascii="Arial Narrow" w:eastAsia="Arial Narrow" w:hAnsi="Arial Narrow" w:cs="Arial Narrow"/>
          <w:b/>
          <w:color w:val="0099FF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99FF"/>
          <w:sz w:val="24"/>
          <w:szCs w:val="24"/>
        </w:rPr>
        <w:t xml:space="preserve">Obecná ustanovení </w:t>
      </w:r>
    </w:p>
    <w:p w:rsidR="00236053" w:rsidRDefault="00236053">
      <w:pPr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Tato vnitřní směrnice upravuje způsob podávání a vyřizování stížností na kvalitu nebo způsob poskytované sociální služby. Podání stížnosti nesmí způsobit újmu stěžovateli ani osobě, které byla nebo je poskytována sociální služba, jíž se stížnost týká, poku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d není zároveň stěžovatelem.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40"/>
          <w:szCs w:val="40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139700</wp:posOffset>
                </wp:positionV>
                <wp:extent cx="6143625" cy="2274967"/>
                <wp:effectExtent l="0" t="0" r="0" b="0"/>
                <wp:wrapSquare wrapText="bothSides" distT="0" distB="0" distL="0" distR="0"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050" y="2671290"/>
                          <a:ext cx="6057900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053" w:rsidRDefault="002A38C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>Stížnost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– projev nespokojenosti s kvalitou nebo způsobem poskytování sociální služby – vyřizujeme písemně</w:t>
                            </w:r>
                          </w:p>
                          <w:p w:rsidR="00236053" w:rsidRDefault="00236053">
                            <w:pPr>
                              <w:jc w:val="center"/>
                              <w:textDirection w:val="btLr"/>
                            </w:pPr>
                          </w:p>
                          <w:p w:rsidR="00236053" w:rsidRDefault="002A38C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4"/>
                              </w:rPr>
                              <w:t xml:space="preserve">Podnět a připomínka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– poukázaní na nedostatek, návrh na zlepšení poskytované služby. Podněty a připomínky jsou zapisovány do „Knihy přání, připomínek a podnětů“, která se nachází v kuchyni. Knihu kontrolují 1 x týdně zpravidla </w:t>
                            </w: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v  pátek</w:t>
                            </w:r>
                            <w:proofErr w:type="gram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 xml:space="preserve"> 2 zaměstnanci. Vyjádření k podnětu zapíš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e koordinátor do „Knihy přání, připomínek a podnětů“. Vyjádření ústně sdělí klientkám na ranní chvilce klientek se zaměstnanci a na poradě zaměstnanců. Podněty a připomínky jsou operativně řešeny během ranní chvilky, toto je zaznamenáváno do „Knihy ranní 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hvilky“. Na konci roku sesbírá SP připomínky zapsané v „Knize ranní chvilky“ a společně s řešením situací je založí do „Knihy přání, připomínek a podnětů“ a do „Evidence stížností“.</w:t>
                            </w:r>
                          </w:p>
                          <w:p w:rsidR="00236053" w:rsidRDefault="002360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" o:spid="_x0000_s1026" style="position:absolute;margin-left:-1pt;margin-top:11pt;width:483.75pt;height:179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36053" w:rsidRDefault="002A38C0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4"/>
                        </w:rPr>
                        <w:t>Stížnost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 xml:space="preserve"> – projev nespokojenosti s kvalitou nebo způsobem poskytování sociální služby – vyřizujeme písemně</w:t>
                      </w:r>
                    </w:p>
                    <w:p w:rsidR="00236053" w:rsidRDefault="00236053">
                      <w:pPr>
                        <w:jc w:val="center"/>
                        <w:textDirection w:val="btLr"/>
                      </w:pPr>
                    </w:p>
                    <w:p w:rsidR="00236053" w:rsidRDefault="002A38C0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4"/>
                        </w:rPr>
                        <w:t xml:space="preserve">Podnět a připomínka 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 xml:space="preserve">– poukázaní na nedostatek, návrh na zlepšení poskytované služby. Podněty a připomínky jsou zapisovány do „Knihy přání, připomínek a podnětů“, která se nachází v kuchyni. Knihu kontrolují 1 x týdně zpravidla </w:t>
                      </w:r>
                      <w:proofErr w:type="gramStart"/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v  pátek</w:t>
                      </w:r>
                      <w:proofErr w:type="gramEnd"/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 xml:space="preserve"> 2 zaměstnanci. Vyjádření k podnětu zapíš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e koordinátor do „Knihy přání, připomínek a podnětů“. Vyjádření ústně sdělí klientkám na ranní chvilce klientek se zaměstnanci a na poradě zaměstnanců. Podněty a připomínky jsou operativně řešeny během ranní chvilky, toto je zaznamenáváno do „Knihy ranní c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hvilky“. Na konci roku sesbírá SP připomínky zapsané v „Knize ranní chvilky“ a společně s řešením situací je založí do „Knihy přání, připomínek a podnětů“ a do „Evidence stížností“.</w:t>
                      </w:r>
                    </w:p>
                    <w:p w:rsidR="00236053" w:rsidRDefault="00236053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Stížnosti, připomínky a podněty jsou pro nás:</w:t>
      </w:r>
    </w:p>
    <w:p w:rsidR="00236053" w:rsidRDefault="002A38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zdrojem informací o poskytované službě ze strany stěžovatele</w:t>
      </w:r>
    </w:p>
    <w:p w:rsidR="00236053" w:rsidRDefault="002A38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motivací ke zvyšování kvality</w:t>
      </w:r>
    </w:p>
    <w:p w:rsidR="00236053" w:rsidRDefault="002A38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nástrojem ke zvyšování kvality, zdokonalování služby.</w:t>
      </w:r>
    </w:p>
    <w:p w:rsidR="00236053" w:rsidRDefault="00236053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236053" w:rsidRDefault="002A38C0">
      <w:pPr>
        <w:jc w:val="both"/>
        <w:rPr>
          <w:rFonts w:ascii="Arial Narrow" w:eastAsia="Arial Narrow" w:hAnsi="Arial Narrow" w:cs="Arial Narrow"/>
          <w:b/>
          <w:color w:val="0099FF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99FF"/>
          <w:sz w:val="24"/>
          <w:szCs w:val="24"/>
        </w:rPr>
        <w:t>Kdo si může podat stížnost:</w:t>
      </w:r>
    </w:p>
    <w:p w:rsidR="00236053" w:rsidRDefault="00236053">
      <w:pPr>
        <w:jc w:val="both"/>
        <w:rPr>
          <w:rFonts w:ascii="Arial Narrow" w:eastAsia="Arial Narrow" w:hAnsi="Arial Narrow" w:cs="Arial Narrow"/>
          <w:color w:val="FF0000"/>
          <w:sz w:val="24"/>
          <w:szCs w:val="24"/>
        </w:rPr>
      </w:pPr>
    </w:p>
    <w:p w:rsidR="00236053" w:rsidRDefault="002A38C0">
      <w:pPr>
        <w:rPr>
          <w:rFonts w:ascii="Arial Narrow" w:eastAsia="Arial Narrow" w:hAnsi="Arial Narrow" w:cs="Arial Narrow"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Právo podávat stížnosti na službu nebo způsob jejího poskytování mají všechny kli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entky v AD, kterým je nebo byla poskytována sociální služba.</w:t>
      </w:r>
    </w:p>
    <w:p w:rsidR="00236053" w:rsidRDefault="002A38C0">
      <w:pPr>
        <w:pBdr>
          <w:top w:val="none" w:sz="0" w:space="3" w:color="000000"/>
          <w:left w:val="none" w:sz="0" w:space="6" w:color="000000"/>
          <w:bottom w:val="none" w:sz="0" w:space="3" w:color="000000"/>
          <w:right w:val="none" w:sz="0" w:space="30" w:color="000000"/>
          <w:between w:val="none" w:sz="0" w:space="3" w:color="000000"/>
        </w:pBdr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Dále  může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podat stížnost:</w:t>
      </w:r>
    </w:p>
    <w:p w:rsidR="00236053" w:rsidRDefault="002A38C0">
      <w:pPr>
        <w:numPr>
          <w:ilvl w:val="0"/>
          <w:numId w:val="2"/>
        </w:numPr>
        <w:pBdr>
          <w:top w:val="none" w:sz="0" w:space="3" w:color="000000"/>
          <w:left w:val="none" w:sz="0" w:space="20" w:color="000000"/>
          <w:bottom w:val="none" w:sz="0" w:space="3" w:color="000000"/>
          <w:right w:val="none" w:sz="0" w:space="30" w:color="000000"/>
          <w:between w:val="none" w:sz="0" w:space="3" w:color="000000"/>
        </w:pBdr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opatrovník nebo podpůrce klientky, které je nebo byla poskytována sociální služba,</w:t>
      </w:r>
    </w:p>
    <w:p w:rsidR="00236053" w:rsidRDefault="002A38C0">
      <w:pPr>
        <w:numPr>
          <w:ilvl w:val="0"/>
          <w:numId w:val="2"/>
        </w:numPr>
        <w:pBdr>
          <w:top w:val="none" w:sz="0" w:space="3" w:color="000000"/>
          <w:left w:val="none" w:sz="0" w:space="20" w:color="000000"/>
          <w:bottom w:val="none" w:sz="0" w:space="3" w:color="000000"/>
          <w:right w:val="none" w:sz="0" w:space="30" w:color="000000"/>
          <w:between w:val="none" w:sz="0" w:space="3" w:color="000000"/>
        </w:pBdr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osoba blízká, nemůže-li stížnost podat klientka, které je nebo byla sociální služba poskytována, s ohledem na svůj zdravotní stav nebo proto, že zemřela,</w:t>
      </w:r>
    </w:p>
    <w:p w:rsidR="00236053" w:rsidRDefault="002A38C0">
      <w:pPr>
        <w:numPr>
          <w:ilvl w:val="0"/>
          <w:numId w:val="2"/>
        </w:numPr>
        <w:pBdr>
          <w:top w:val="none" w:sz="0" w:space="3" w:color="000000"/>
          <w:left w:val="none" w:sz="0" w:space="20" w:color="000000"/>
          <w:bottom w:val="none" w:sz="0" w:space="3" w:color="000000"/>
          <w:right w:val="none" w:sz="0" w:space="30" w:color="000000"/>
          <w:between w:val="none" w:sz="0" w:space="3" w:color="000000"/>
        </w:pBdr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osoba zmocněná klientkou, které je nebo byla poskytována sociální služba,</w:t>
      </w:r>
    </w:p>
    <w:p w:rsidR="00236053" w:rsidRDefault="002A38C0">
      <w:pPr>
        <w:numPr>
          <w:ilvl w:val="0"/>
          <w:numId w:val="2"/>
        </w:numPr>
        <w:pBdr>
          <w:top w:val="none" w:sz="0" w:space="3" w:color="000000"/>
          <w:left w:val="none" w:sz="0" w:space="20" w:color="000000"/>
          <w:bottom w:val="none" w:sz="0" w:space="3" w:color="000000"/>
          <w:right w:val="none" w:sz="0" w:space="30" w:color="000000"/>
          <w:between w:val="none" w:sz="0" w:space="3" w:color="000000"/>
        </w:pBdr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člen domácnosti osoby, které</w:t>
      </w:r>
      <w:r>
        <w:rPr>
          <w:rFonts w:ascii="Arial Narrow" w:eastAsia="Arial Narrow" w:hAnsi="Arial Narrow" w:cs="Arial Narrow"/>
          <w:sz w:val="24"/>
          <w:szCs w:val="24"/>
        </w:rPr>
        <w:t xml:space="preserve"> je nebo byla poskytována sociální služba, oprávněný k zastupování této osoby podle občanského zákoníku</w:t>
      </w:r>
    </w:p>
    <w:p w:rsidR="00236053" w:rsidRDefault="002A38C0">
      <w:pPr>
        <w:numPr>
          <w:ilvl w:val="0"/>
          <w:numId w:val="2"/>
        </w:numPr>
        <w:pBdr>
          <w:top w:val="none" w:sz="0" w:space="3" w:color="000000"/>
          <w:left w:val="none" w:sz="0" w:space="20" w:color="000000"/>
          <w:bottom w:val="none" w:sz="0" w:space="3" w:color="000000"/>
          <w:right w:val="none" w:sz="0" w:space="30" w:color="000000"/>
          <w:between w:val="none" w:sz="0" w:space="3" w:color="000000"/>
        </w:pBdr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zaměstnanec poskytovatele sociálních služeb</w:t>
      </w:r>
    </w:p>
    <w:p w:rsidR="00236053" w:rsidRDefault="00236053">
      <w:pPr>
        <w:jc w:val="both"/>
        <w:rPr>
          <w:rFonts w:ascii="Arial Narrow" w:eastAsia="Arial Narrow" w:hAnsi="Arial Narrow" w:cs="Arial Narrow"/>
          <w:color w:val="FF0000"/>
          <w:sz w:val="24"/>
          <w:szCs w:val="24"/>
        </w:rPr>
      </w:pPr>
    </w:p>
    <w:p w:rsidR="00236053" w:rsidRDefault="00236053">
      <w:pPr>
        <w:keepNext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236053" w:rsidRDefault="002A38C0">
      <w:pPr>
        <w:jc w:val="both"/>
        <w:rPr>
          <w:rFonts w:ascii="Arial Narrow" w:eastAsia="Arial Narrow" w:hAnsi="Arial Narrow" w:cs="Arial Narrow"/>
          <w:b/>
          <w:color w:val="0099FF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99FF"/>
          <w:sz w:val="24"/>
          <w:szCs w:val="24"/>
        </w:rPr>
        <w:t>Forma podání stížnosti</w:t>
      </w:r>
    </w:p>
    <w:p w:rsidR="00236053" w:rsidRDefault="00236053">
      <w:pPr>
        <w:jc w:val="both"/>
        <w:rPr>
          <w:rFonts w:ascii="Arial Narrow" w:eastAsia="Arial Narrow" w:hAnsi="Arial Narrow" w:cs="Arial Narrow"/>
          <w:b/>
          <w:color w:val="0099FF"/>
          <w:sz w:val="24"/>
          <w:szCs w:val="24"/>
        </w:rPr>
      </w:pP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>Písemně</w:t>
      </w:r>
    </w:p>
    <w:p w:rsidR="00236053" w:rsidRDefault="002A38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formou dopisu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Stěžovatel pošle poštou dopis, který převezme koordinátor st</w:t>
      </w:r>
      <w:r>
        <w:rPr>
          <w:rFonts w:ascii="Arial Narrow" w:eastAsia="Arial Narrow" w:hAnsi="Arial Narrow" w:cs="Arial Narrow"/>
          <w:sz w:val="24"/>
          <w:szCs w:val="24"/>
        </w:rPr>
        <w:t>řediska, v případě nepřítomnosti sociální pracovník, stížnost zaeviduje do „Evidence stížností“ a koordinátor střediska ji dále zpracuje.</w:t>
      </w:r>
    </w:p>
    <w:p w:rsidR="00236053" w:rsidRDefault="00236053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prostřednictvím „Schránky stížností“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Napsanou stížnost stěžovatel vhodí do </w:t>
      </w:r>
      <w:r>
        <w:rPr>
          <w:rFonts w:ascii="Arial Narrow" w:eastAsia="Arial Narrow" w:hAnsi="Arial Narrow" w:cs="Arial Narrow"/>
          <w:i/>
          <w:sz w:val="24"/>
          <w:szCs w:val="24"/>
        </w:rPr>
        <w:t>Schránky stížností</w:t>
      </w:r>
      <w:r>
        <w:rPr>
          <w:rFonts w:ascii="Arial Narrow" w:eastAsia="Arial Narrow" w:hAnsi="Arial Narrow" w:cs="Arial Narrow"/>
          <w:sz w:val="24"/>
          <w:szCs w:val="24"/>
        </w:rPr>
        <w:t>, která visí na chodbě</w:t>
      </w:r>
      <w:r>
        <w:rPr>
          <w:rFonts w:ascii="Arial Narrow" w:eastAsia="Arial Narrow" w:hAnsi="Arial Narrow" w:cs="Arial Narrow"/>
          <w:sz w:val="24"/>
          <w:szCs w:val="24"/>
        </w:rPr>
        <w:t>, vedle vchodových dveří do pokoje č.1. Schránku stížností vybírají vždy dva zaměstnanci 1x týdně, zpravidla v pátek. Provedení kontroly zaznamenají do sešitu „Kontrola schránky stížností a knihy připomínek a podnětů“. Koordinátor střediska stížnost zaevid</w:t>
      </w:r>
      <w:r>
        <w:rPr>
          <w:rFonts w:ascii="Arial Narrow" w:eastAsia="Arial Narrow" w:hAnsi="Arial Narrow" w:cs="Arial Narrow"/>
          <w:sz w:val="24"/>
          <w:szCs w:val="24"/>
        </w:rPr>
        <w:t>uje do „Evidence stížností“ a dále zpracuje. U schránky stížností je vyvěšen podrobný návod s piktogramy, jak vyjádřit svou nespokojenost.  Na tomto návodu je i kontakt, na které se může stěžovatel obrátit, pokud není spokojen s vyřízením stížnosti.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 </w:t>
      </w:r>
    </w:p>
    <w:p w:rsidR="00236053" w:rsidRDefault="00236053">
      <w:pPr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prostřednictvím „e-mailu“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Stěžovatel může poslat stížnost na e-mail: </w:t>
      </w:r>
      <w:hyperlink r:id="rId10">
        <w:r>
          <w:rPr>
            <w:rFonts w:ascii="Arial Narrow" w:eastAsia="Arial Narrow" w:hAnsi="Arial Narrow" w:cs="Arial Narrow"/>
            <w:sz w:val="24"/>
            <w:szCs w:val="24"/>
          </w:rPr>
          <w:t>ad.zeny.tc@slezskadiakonie.cz</w:t>
        </w:r>
      </w:hyperlink>
      <w:r>
        <w:rPr>
          <w:rFonts w:ascii="Arial Narrow" w:eastAsia="Arial Narrow" w:hAnsi="Arial Narrow" w:cs="Arial Narrow"/>
          <w:sz w:val="24"/>
          <w:szCs w:val="24"/>
        </w:rPr>
        <w:t xml:space="preserve">, nebo na další e-maily zaměstnanců. Zaměstnanec, který stížnost e-mailem přijme, ji vytiskne a předá </w:t>
      </w:r>
      <w:r>
        <w:rPr>
          <w:rFonts w:ascii="Arial Narrow" w:eastAsia="Arial Narrow" w:hAnsi="Arial Narrow" w:cs="Arial Narrow"/>
          <w:sz w:val="24"/>
          <w:szCs w:val="24"/>
        </w:rPr>
        <w:t xml:space="preserve">koordinátorovi střediska, ten stížnost zaeviduje a dále zpracuje. </w:t>
      </w:r>
    </w:p>
    <w:p w:rsidR="00236053" w:rsidRDefault="00236053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>Ústně</w:t>
      </w:r>
    </w:p>
    <w:p w:rsidR="00236053" w:rsidRDefault="002A38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osobní stížnost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Stěžovatel si může stěžovat u zaměstnanců azylového domu. Zaměstnanec, který stížnost přijme, ji zapíše do formuláře pro podání stížnosti (formulář se nachází ve skříni, složka „Stížnosti“). Vypsaný formulář předá koordinátorovi, ten stížnost zaeviduje a d</w:t>
      </w:r>
      <w:r>
        <w:rPr>
          <w:rFonts w:ascii="Arial Narrow" w:eastAsia="Arial Narrow" w:hAnsi="Arial Narrow" w:cs="Arial Narrow"/>
          <w:sz w:val="24"/>
          <w:szCs w:val="24"/>
        </w:rPr>
        <w:t>ále zpracuje. Pokud kterémukoli zaměstnanci azylového domu stěžovatel sdělí svou potřebu stěžovat si na službu nebo způsob poskytování služby, zaměstnanec ho informuje o způsobu, jakým může tuto stížnost podat a nabídne mu podporu.</w:t>
      </w:r>
    </w:p>
    <w:p w:rsidR="00236053" w:rsidRDefault="00236053">
      <w:pPr>
        <w:tabs>
          <w:tab w:val="left" w:pos="360"/>
        </w:tabs>
        <w:ind w:left="36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telefonická stížnost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>ěžovatel si může stěžovat telefonicky. Zaměstnanec, který přijme telefonickou stížnost, ji zapíše do formuláře pro podání stížností. Text přečte do telefonu, a pokud bude stěžovatel s obsahem souhlasit, stížnost předá koordinátorovi, ten stížnost zaeviduje</w:t>
      </w:r>
      <w:r>
        <w:rPr>
          <w:rFonts w:ascii="Arial Narrow" w:eastAsia="Arial Narrow" w:hAnsi="Arial Narrow" w:cs="Arial Narrow"/>
          <w:sz w:val="24"/>
          <w:szCs w:val="24"/>
        </w:rPr>
        <w:t xml:space="preserve"> a dále zpracuje.</w:t>
      </w:r>
    </w:p>
    <w:p w:rsidR="00236053" w:rsidRDefault="00236053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99FF"/>
          <w:sz w:val="24"/>
          <w:szCs w:val="24"/>
          <w:highlight w:val="white"/>
        </w:rPr>
        <w:t>Základní informace o možnostech podávání stížností a jejich vyřizování:</w:t>
      </w:r>
    </w:p>
    <w:p w:rsidR="00236053" w:rsidRDefault="00236053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SÁRA Třinec, azylový dům</w:t>
      </w:r>
    </w:p>
    <w:p w:rsidR="00236053" w:rsidRDefault="002A38C0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adresa: Hraniční 280, 739 61 Třinec-Kanada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Koordinátor střediska Bc. Nikola Pokludová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tel: 733 142 420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e-mail: </w:t>
      </w:r>
      <w:hyperlink r:id="rId11">
        <w:r>
          <w:rPr>
            <w:rFonts w:ascii="Arial Narrow" w:eastAsia="Arial Narrow" w:hAnsi="Arial Narrow" w:cs="Arial Narrow"/>
            <w:sz w:val="24"/>
            <w:szCs w:val="24"/>
          </w:rPr>
          <w:t>ad.zeny.tc@slezskadiakonie.cz</w:t>
        </w:r>
      </w:hyperlink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Vedoucí střediska Mgr. Stanislav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Mrózek</w:t>
      </w:r>
      <w:proofErr w:type="spellEnd"/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tel: 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733 142 414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e-mail: s.mrozek@slezskadiakonie.cz </w:t>
      </w:r>
    </w:p>
    <w:p w:rsidR="00236053" w:rsidRDefault="00236053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Vedoucí oblasti Třinec, Frýdek-Místek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Bc. Marek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Stebel</w:t>
      </w:r>
      <w:proofErr w:type="spellEnd"/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telefon: 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704 675 715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</w:rPr>
        <w:t>adresa: Hraniční 280, 739 61 Třinec-Kanada</w:t>
      </w:r>
    </w:p>
    <w:p w:rsidR="00236053" w:rsidRDefault="002A38C0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e-mail: </w:t>
      </w:r>
      <w:proofErr w:type="gramStart"/>
      <w:r>
        <w:rPr>
          <w:rFonts w:ascii="Arial Narrow" w:eastAsia="Arial Narrow" w:hAnsi="Arial Narrow" w:cs="Arial Narrow"/>
          <w:sz w:val="24"/>
          <w:szCs w:val="24"/>
          <w:highlight w:val="white"/>
        </w:rPr>
        <w:t>m.stebel</w:t>
      </w:r>
      <w:proofErr w:type="gramEnd"/>
      <w:r>
        <w:fldChar w:fldCharType="begin"/>
      </w:r>
      <w:r>
        <w:instrText xml:space="preserve"> HYPERLINK "mailto:p.wiselka@slezskadiakonie.cz" \h </w:instrText>
      </w:r>
      <w:r>
        <w:fldChar w:fldCharType="separate"/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@slezskadiakonie.cz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fldChar w:fldCharType="end"/>
      </w:r>
    </w:p>
    <w:p w:rsidR="00236053" w:rsidRDefault="00236053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236053" w:rsidRDefault="002A38C0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Slezská diakonie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 Nivách 7/259, 737 01 Český Těšín</w:t>
      </w:r>
    </w:p>
    <w:p w:rsidR="00236053" w:rsidRDefault="002A38C0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Vedení Slezské diakonie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Mgr. Zuzana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Filipková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Ph.D., ředitelka 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</w:t>
      </w:r>
      <w:r>
        <w:rPr>
          <w:rFonts w:ascii="Arial Narrow" w:eastAsia="Arial Narrow" w:hAnsi="Arial Narrow" w:cs="Arial Narrow"/>
          <w:sz w:val="24"/>
          <w:szCs w:val="24"/>
        </w:rPr>
        <w:t>. 730 166 120, e-mail: ustredi@slezskadiakonie.cz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Mgr. Ing. Romana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Bélová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 náměstkyně ředitelky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tel: 731 199 480, e-mail: r.belova@slezskadiakonie.cz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Další možnosti podání:</w:t>
      </w:r>
    </w:p>
    <w:p w:rsidR="00236053" w:rsidRDefault="00236053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Zřizovatel Slezské diakonie 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Slezská církev evangelická a. v.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tel: 558 764 380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</w:t>
      </w:r>
      <w:r>
        <w:rPr>
          <w:rFonts w:ascii="Arial Narrow" w:eastAsia="Arial Narrow" w:hAnsi="Arial Narrow" w:cs="Arial Narrow"/>
          <w:sz w:val="24"/>
          <w:szCs w:val="24"/>
        </w:rPr>
        <w:t>esa: Na Nivách 259/7, 737 01 Český Těšín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E-mail: sekretariat@sceav.cz</w:t>
      </w:r>
    </w:p>
    <w:p w:rsidR="00236053" w:rsidRDefault="00236053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Kancelář veřejného ochránce práv: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Veřejný ochránce práv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tel:  542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542 888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adresa: Údolní 39, 602 00 Brno-střed</w:t>
      </w:r>
    </w:p>
    <w:p w:rsidR="00236053" w:rsidRDefault="002A38C0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e-mail: podatelna@ochrance.cz</w:t>
      </w:r>
    </w:p>
    <w:p w:rsidR="00236053" w:rsidRDefault="00236053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99FF"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99FF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99FF"/>
          <w:sz w:val="24"/>
          <w:szCs w:val="24"/>
        </w:rPr>
        <w:t>Postup při vyřizování stížnosti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99FF"/>
          <w:sz w:val="24"/>
          <w:szCs w:val="24"/>
        </w:rPr>
      </w:pPr>
    </w:p>
    <w:p w:rsidR="00236053" w:rsidRDefault="002A38C0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Stížnosti vyřizuje:</w:t>
      </w:r>
    </w:p>
    <w:p w:rsidR="00236053" w:rsidRDefault="002A38C0">
      <w:pPr>
        <w:rPr>
          <w:rFonts w:ascii="Arial Narrow" w:eastAsia="Arial Narrow" w:hAnsi="Arial Narrow" w:cs="Arial Narrow"/>
          <w:b/>
          <w:color w:val="0099FF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Stížnost vyřizuje koordinátor střediska, v případě jeho nepřítomnosti delší než 10 pracovních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dnů, stížnosti vyřizuje vedoucí služby. Pokud se jedná o stížnost na konkrétního zaměstnance, platí pravidlo, že stížnost řeší jeho přímý nadř</w:t>
      </w:r>
      <w:r>
        <w:rPr>
          <w:rFonts w:ascii="Arial Narrow" w:eastAsia="Arial Narrow" w:hAnsi="Arial Narrow" w:cs="Arial Narrow"/>
          <w:sz w:val="24"/>
          <w:szCs w:val="24"/>
        </w:rPr>
        <w:t>ízený.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Evidence stížností</w:t>
      </w: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Koordinátor střediska každou stížnost zaeviduje do formuláře „Evidence stížností“.</w:t>
      </w: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Zapíše do formuláře:</w:t>
      </w:r>
    </w:p>
    <w:p w:rsidR="00236053" w:rsidRDefault="002A38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evidenční číslo</w:t>
      </w:r>
    </w:p>
    <w:p w:rsidR="00236053" w:rsidRDefault="002A38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datum přijetí stížnosti</w:t>
      </w:r>
    </w:p>
    <w:p w:rsidR="00236053" w:rsidRDefault="002A38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forma stížnosti</w:t>
      </w:r>
    </w:p>
    <w:p w:rsidR="00236053" w:rsidRDefault="002A38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stížnost přijal</w:t>
      </w:r>
    </w:p>
    <w:p w:rsidR="00236053" w:rsidRDefault="002A38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stížnost vyřídil </w:t>
      </w:r>
    </w:p>
    <w:p w:rsidR="00236053" w:rsidRDefault="002A38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datum vyřízení 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" w:eastAsia="Arial" w:hAnsi="Arial" w:cs="Arial"/>
          <w:highlight w:val="white"/>
        </w:rPr>
        <w:t>Stěžovateli je umožněno nahlížet do dokumentace, kterou služba vede o stížnosti (Evidence stížností, Vyřízení stížností), a pořizovat z ní kopie nebo výpisy.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Způsob zápisu vyřízení stížností</w:t>
      </w: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Koordinátor střediska zapisuje vyřízení stížností do formuláře „</w:t>
      </w:r>
      <w:r>
        <w:rPr>
          <w:rFonts w:ascii="Arial Narrow" w:eastAsia="Arial Narrow" w:hAnsi="Arial Narrow" w:cs="Arial Narrow"/>
          <w:sz w:val="24"/>
          <w:szCs w:val="24"/>
        </w:rPr>
        <w:t>Vyřízení stížností“, který obsahuje:</w:t>
      </w:r>
    </w:p>
    <w:p w:rsidR="00236053" w:rsidRDefault="002A3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stížnost převzal</w:t>
      </w:r>
    </w:p>
    <w:p w:rsidR="00236053" w:rsidRDefault="002A3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stížnost vyřizuje</w:t>
      </w:r>
    </w:p>
    <w:p w:rsidR="00236053" w:rsidRDefault="002A3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datum zařazení do evidence</w:t>
      </w:r>
    </w:p>
    <w:p w:rsidR="00236053" w:rsidRDefault="002A3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datum vyřízení stížnosti</w:t>
      </w:r>
    </w:p>
    <w:p w:rsidR="00236053" w:rsidRDefault="002A3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přijatá opatření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93DD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93DD"/>
          <w:sz w:val="24"/>
          <w:szCs w:val="24"/>
        </w:rPr>
        <w:t>Lhůta k vyřízení stížností</w:t>
      </w:r>
    </w:p>
    <w:p w:rsidR="00236053" w:rsidRDefault="002A38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Stížnost je vyřízena do</w:t>
      </w:r>
      <w:r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30</w:t>
      </w:r>
      <w:r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  <w:t xml:space="preserve"> kalendářních dn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ů</w:t>
      </w:r>
      <w:r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  <w:t xml:space="preserve"> ode dne doručení stížnosti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.</w:t>
      </w:r>
      <w:r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  <w:t xml:space="preserve"> V případě, že není možné stížnost do 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30</w:t>
      </w:r>
      <w:r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dnů</w:t>
      </w:r>
      <w:r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  <w:t xml:space="preserve"> vyřešit, informuje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poskytovatel sociálních služeb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 této skutečnosti stěžovatele, a </w:t>
      </w:r>
      <w:r>
        <w:rPr>
          <w:rFonts w:ascii="Arial Narrow" w:eastAsia="Arial Narrow" w:hAnsi="Arial Narrow" w:cs="Arial Narrow"/>
          <w:sz w:val="24"/>
          <w:szCs w:val="24"/>
        </w:rPr>
        <w:t>prodloužit lhůtu o dalších 30 dnů.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V případě anonymní</w:t>
      </w:r>
      <w:r>
        <w:rPr>
          <w:rFonts w:ascii="Arial Narrow" w:eastAsia="Arial Narrow" w:hAnsi="Arial Narrow" w:cs="Arial Narrow"/>
          <w:sz w:val="24"/>
          <w:szCs w:val="24"/>
        </w:rPr>
        <w:t xml:space="preserve"> stížnosti je informace o prodloužení lhůty vyvěšena na nástěnce AD.</w:t>
      </w:r>
    </w:p>
    <w:p w:rsidR="00236053" w:rsidRDefault="002A38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Stížn</w:t>
      </w:r>
      <w:r>
        <w:rPr>
          <w:rFonts w:ascii="Arial Narrow" w:eastAsia="Arial Narrow" w:hAnsi="Arial Narrow" w:cs="Arial Narrow"/>
          <w:sz w:val="24"/>
          <w:szCs w:val="24"/>
        </w:rPr>
        <w:t xml:space="preserve">ost se podává ve lhůtě 1 roku ode dne, kdy nastala skutečnost, která je předmětem stížnosti. 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lastRenderedPageBreak/>
        <w:t>Prošetření stížnosti</w:t>
      </w: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Koordinátor střediska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prošetří stížnost s osobami, kterých se tato stížnost týká. Pokud je to možné, pozve si tyto osoby do </w:t>
      </w:r>
      <w:r>
        <w:rPr>
          <w:rFonts w:ascii="Arial Narrow" w:eastAsia="Arial Narrow" w:hAnsi="Arial Narrow" w:cs="Arial Narrow"/>
          <w:sz w:val="24"/>
          <w:szCs w:val="24"/>
        </w:rPr>
        <w:t>kanceláře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 Při prošetření stížnosti vyslechne nejprve stěžovatele, poté osobu, na kterou si stěžuje, popřípadě svědky. Se souhlasem stěžovatele může dojít k vzájemnému setkání mezi ním a osobou, na kterou si stěžuje. Jinak probíhá jednání odděleně. V případě potřeb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y jsou přijatá příslušná nápravná opatření. O řešení stížnosti napíše záznam do formuláře „Vyřízení stížností“.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Předání výsledku vyřízení stížnosti</w:t>
      </w: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Pokud je to možné, stěžovatel si určí při podání stížnosti způsob předání výsledku </w:t>
      </w:r>
      <w:r>
        <w:rPr>
          <w:rFonts w:ascii="Arial Narrow" w:eastAsia="Arial Narrow" w:hAnsi="Arial Narrow" w:cs="Arial Narrow"/>
          <w:sz w:val="24"/>
          <w:szCs w:val="24"/>
        </w:rPr>
        <w:t>vyřízené stížnosti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(píse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mně, e-mailem, vyvěšením na nástěnku azylového domu</w:t>
      </w:r>
      <w:r>
        <w:rPr>
          <w:rFonts w:ascii="Arial Narrow" w:eastAsia="Arial Narrow" w:hAnsi="Arial Narrow" w:cs="Arial Narrow"/>
          <w:sz w:val="24"/>
          <w:szCs w:val="24"/>
        </w:rPr>
        <w:t>). Zvoleným způsobem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je mu stížnost předána.  V případě anonymní stížnosti je výsledek po dobu </w:t>
      </w:r>
      <w:r>
        <w:rPr>
          <w:rFonts w:ascii="Arial Narrow" w:eastAsia="Arial Narrow" w:hAnsi="Arial Narrow" w:cs="Arial Narrow"/>
          <w:sz w:val="24"/>
          <w:szCs w:val="24"/>
        </w:rPr>
        <w:t>14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dnů vyvěšen na nástěnce azylového domu a klientky </w:t>
      </w:r>
      <w:r>
        <w:rPr>
          <w:rFonts w:ascii="Arial Narrow" w:eastAsia="Arial Narrow" w:hAnsi="Arial Narrow" w:cs="Arial Narrow"/>
          <w:sz w:val="24"/>
          <w:szCs w:val="24"/>
        </w:rPr>
        <w:t>jsou o tom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informovány zaměstnancem na ranní chvilce. </w:t>
      </w:r>
      <w:r>
        <w:rPr>
          <w:rFonts w:ascii="Arial Narrow" w:eastAsia="Arial Narrow" w:hAnsi="Arial Narrow" w:cs="Arial Narrow"/>
          <w:sz w:val="24"/>
          <w:szCs w:val="24"/>
        </w:rPr>
        <w:t xml:space="preserve">Výsledné vyřízení stížností je vždy ve dvou vyhotoveních, jedno se předává klientce, druhé vyhotovení je založeno s podpisem klientky do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složky ,,Stížnosti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”.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 případě nesouhlasu stěžovatele s vyřízením stížnosti nebo v případě, kdy stížnost nebyla vyříze</w:t>
      </w:r>
      <w:r>
        <w:rPr>
          <w:rFonts w:ascii="Arial Narrow" w:eastAsia="Arial Narrow" w:hAnsi="Arial Narrow" w:cs="Arial Narrow"/>
          <w:sz w:val="24"/>
          <w:szCs w:val="24"/>
        </w:rPr>
        <w:t xml:space="preserve">na ve stanovené lhůtě, může ve lhůtě 60 dnů ode dne doručení požádat Ministerstvo práce a sociálních věcí ČR o prověření vyřízení této stížnosti na: 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i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Ministerstvo práce a sociálních věcí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tel: 950 191 111</w:t>
      </w:r>
    </w:p>
    <w:p w:rsidR="00236053" w:rsidRDefault="002A38C0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adresa: Na Poříčním právu 1/376, 128 01 Praha 2</w:t>
      </w:r>
    </w:p>
    <w:p w:rsidR="00236053" w:rsidRDefault="002A38C0">
      <w:pPr>
        <w:jc w:val="both"/>
        <w:rPr>
          <w:rFonts w:ascii="Arial Narrow" w:eastAsia="Arial Narrow" w:hAnsi="Arial Narrow" w:cs="Arial Narrow"/>
          <w:color w:val="000000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</w:rPr>
        <w:t>e-m</w:t>
      </w:r>
      <w:r>
        <w:rPr>
          <w:rFonts w:ascii="Arial Narrow" w:eastAsia="Arial Narrow" w:hAnsi="Arial Narrow" w:cs="Arial Narrow"/>
          <w:sz w:val="24"/>
          <w:szCs w:val="24"/>
        </w:rPr>
        <w:t>ail: posta@mpsv.cz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Prokazatelné seznámení klientek s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pravidlem pro podávání stížností </w:t>
      </w: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Klientky jsou při podpisu smlouvy seznámeny s pravidly pro podávání a vyřizování stížností, které jsou součástí </w:t>
      </w:r>
      <w:r>
        <w:rPr>
          <w:rFonts w:ascii="Arial Narrow" w:eastAsia="Arial Narrow" w:hAnsi="Arial Narrow" w:cs="Arial Narrow"/>
          <w:sz w:val="24"/>
          <w:szCs w:val="24"/>
        </w:rPr>
        <w:t>pravidel azylového domu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 xml:space="preserve"> Pravidla AD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jsou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k dispozici na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každém pokoji a j</w:t>
      </w:r>
      <w:r>
        <w:rPr>
          <w:rFonts w:ascii="Arial Narrow" w:eastAsia="Arial Narrow" w:hAnsi="Arial Narrow" w:cs="Arial Narrow"/>
          <w:sz w:val="24"/>
          <w:szCs w:val="24"/>
        </w:rPr>
        <w:t>sou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vyvěšeny na nástěnce na chodbě AD. Piktogram (viz příloha) je umístěn vedle schránky stížností. </w:t>
      </w:r>
      <w:r>
        <w:rPr>
          <w:rFonts w:ascii="Arial Narrow" w:eastAsia="Arial Narrow" w:hAnsi="Arial Narrow" w:cs="Arial Narrow"/>
          <w:sz w:val="24"/>
          <w:szCs w:val="24"/>
        </w:rPr>
        <w:t xml:space="preserve">S klientkami jsou pravidla podávání stížnosti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probírány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 v rámci schůzek individuálního plánování.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Prokazatelné seznámení zaměstnanců s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pravidlem pro podávání stížností</w:t>
      </w: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Nový zaměstnanec je seznámen s pravidly pro podávání a vyřizování stížností v době zácviku zodpovědným zaměstnancem za zácvik. Pokud dojde ke změně v pravidlech pro podávání stížností, jsou o tom </w:t>
      </w:r>
      <w:bookmarkStart w:id="0" w:name="_GoBack"/>
      <w:bookmarkEnd w:id="0"/>
      <w:r>
        <w:rPr>
          <w:rFonts w:ascii="Arial Narrow" w:eastAsia="Arial Narrow" w:hAnsi="Arial Narrow" w:cs="Arial Narrow"/>
          <w:color w:val="000000"/>
          <w:sz w:val="24"/>
          <w:szCs w:val="24"/>
        </w:rPr>
        <w:t>zaměstnanci informování na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pravidelných poradách. 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236053" w:rsidRDefault="002A3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Stížnosti, připomínky a podněty jsou vyhodnocovány jednou ročně, viz M 15.</w:t>
      </w: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rPr>
          <w:rFonts w:ascii="Arial Narrow" w:eastAsia="Arial Narrow" w:hAnsi="Arial Narrow" w:cs="Arial Narrow"/>
          <w:sz w:val="24"/>
          <w:szCs w:val="24"/>
        </w:rPr>
      </w:pPr>
    </w:p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236053">
        <w:trPr>
          <w:trHeight w:val="580"/>
        </w:trPr>
        <w:tc>
          <w:tcPr>
            <w:tcW w:w="9212" w:type="dxa"/>
            <w:vAlign w:val="center"/>
          </w:tcPr>
          <w:p w:rsidR="00236053" w:rsidRDefault="002A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Aktualizováno dne: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17.3.2025</w:t>
            </w:r>
          </w:p>
        </w:tc>
      </w:tr>
      <w:tr w:rsidR="00236053">
        <w:trPr>
          <w:trHeight w:val="580"/>
        </w:trPr>
        <w:tc>
          <w:tcPr>
            <w:tcW w:w="9212" w:type="dxa"/>
            <w:vAlign w:val="center"/>
          </w:tcPr>
          <w:p w:rsidR="00236053" w:rsidRDefault="002A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Platnost ode dne: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poslední aktualizace</w:t>
            </w:r>
          </w:p>
        </w:tc>
      </w:tr>
      <w:tr w:rsidR="00236053">
        <w:trPr>
          <w:trHeight w:val="560"/>
        </w:trPr>
        <w:tc>
          <w:tcPr>
            <w:tcW w:w="9212" w:type="dxa"/>
            <w:vAlign w:val="center"/>
          </w:tcPr>
          <w:p w:rsidR="00236053" w:rsidRDefault="002A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Aktualizoval:   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Bc Nikola Pokludová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tým zaměstnanců</w:t>
            </w:r>
          </w:p>
        </w:tc>
      </w:tr>
      <w:tr w:rsidR="00236053">
        <w:trPr>
          <w:trHeight w:val="560"/>
        </w:trPr>
        <w:tc>
          <w:tcPr>
            <w:tcW w:w="9212" w:type="dxa"/>
            <w:vAlign w:val="center"/>
          </w:tcPr>
          <w:p w:rsidR="00236053" w:rsidRDefault="002A3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Tento dokument byl zpracován v souladu se zákonem 108/2006 Sb., o sociálních službách a vyhlášky 505/2006 Sb., kterou se provádějí některá ustanovení zákona o soc. službách.  </w:t>
            </w:r>
          </w:p>
        </w:tc>
      </w:tr>
    </w:tbl>
    <w:p w:rsidR="00236053" w:rsidRDefault="0023605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236053">
      <w:footerReference w:type="even" r:id="rId12"/>
      <w:footerReference w:type="default" r:id="rId13"/>
      <w:pgSz w:w="11906" w:h="16838"/>
      <w:pgMar w:top="850" w:right="1134" w:bottom="682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8C0" w:rsidRDefault="002A38C0">
      <w:r>
        <w:separator/>
      </w:r>
    </w:p>
  </w:endnote>
  <w:endnote w:type="continuationSeparator" w:id="0">
    <w:p w:rsidR="002A38C0" w:rsidRDefault="002A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053" w:rsidRDefault="002A38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236053" w:rsidRDefault="002360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053" w:rsidRDefault="002A38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  <w:sz w:val="24"/>
        <w:szCs w:val="24"/>
      </w:rPr>
    </w:pPr>
    <w:r>
      <w:rPr>
        <w:rFonts w:ascii="Arial Narrow" w:eastAsia="Arial Narrow" w:hAnsi="Arial Narrow" w:cs="Arial Narrow"/>
        <w:color w:val="000000"/>
        <w:sz w:val="24"/>
        <w:szCs w:val="24"/>
      </w:rPr>
      <w:fldChar w:fldCharType="begin"/>
    </w:r>
    <w:r>
      <w:rPr>
        <w:rFonts w:ascii="Arial Narrow" w:eastAsia="Arial Narrow" w:hAnsi="Arial Narrow" w:cs="Arial Narrow"/>
        <w:color w:val="000000"/>
        <w:sz w:val="24"/>
        <w:szCs w:val="24"/>
      </w:rPr>
      <w:instrText>PAGE</w:instrText>
    </w:r>
    <w:r w:rsidR="003E0E02">
      <w:rPr>
        <w:rFonts w:ascii="Arial Narrow" w:eastAsia="Arial Narrow" w:hAnsi="Arial Narrow" w:cs="Arial Narrow"/>
        <w:color w:val="000000"/>
        <w:sz w:val="24"/>
        <w:szCs w:val="24"/>
      </w:rPr>
      <w:fldChar w:fldCharType="separate"/>
    </w:r>
    <w:r w:rsidR="003E0E02">
      <w:rPr>
        <w:rFonts w:ascii="Arial Narrow" w:eastAsia="Arial Narrow" w:hAnsi="Arial Narrow" w:cs="Arial Narrow"/>
        <w:noProof/>
        <w:color w:val="000000"/>
        <w:sz w:val="24"/>
        <w:szCs w:val="24"/>
      </w:rPr>
      <w:t>2</w:t>
    </w:r>
    <w:r>
      <w:rPr>
        <w:rFonts w:ascii="Arial Narrow" w:eastAsia="Arial Narrow" w:hAnsi="Arial Narrow" w:cs="Arial Narrow"/>
        <w:color w:val="000000"/>
        <w:sz w:val="24"/>
        <w:szCs w:val="24"/>
      </w:rPr>
      <w:fldChar w:fldCharType="end"/>
    </w:r>
  </w:p>
  <w:p w:rsidR="00236053" w:rsidRDefault="002360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8C0" w:rsidRDefault="002A38C0">
      <w:r>
        <w:separator/>
      </w:r>
    </w:p>
  </w:footnote>
  <w:footnote w:type="continuationSeparator" w:id="0">
    <w:p w:rsidR="002A38C0" w:rsidRDefault="002A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2891"/>
    <w:multiLevelType w:val="multilevel"/>
    <w:tmpl w:val="F7F2B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CC657E"/>
    <w:multiLevelType w:val="multilevel"/>
    <w:tmpl w:val="B4B0355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b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40EB3F7E"/>
    <w:multiLevelType w:val="multilevel"/>
    <w:tmpl w:val="F86E2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2070AB"/>
    <w:multiLevelType w:val="multilevel"/>
    <w:tmpl w:val="4A866E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 w15:restartNumberingAfterBreak="0">
    <w:nsid w:val="45EB7C98"/>
    <w:multiLevelType w:val="multilevel"/>
    <w:tmpl w:val="5338FB4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5" w15:restartNumberingAfterBreak="0">
    <w:nsid w:val="5EFB12B6"/>
    <w:multiLevelType w:val="multilevel"/>
    <w:tmpl w:val="112E8C5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53"/>
    <w:rsid w:val="00236053"/>
    <w:rsid w:val="002A38C0"/>
    <w:rsid w:val="003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ADD0"/>
  <w15:docId w15:val="{807AD384-ACBD-4CB6-9331-32C0E458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.zeny.tc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.zeny.tc@slezskadiakoni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xR56KInxrXn451qXiJUs0kOaLw==">CgMxLjA4AHIhMTAyMWVYSWtmdmVxdTF6b0UtbmhRVmROOGlsSjFnNWgx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SáraTC</dc:creator>
  <cp:lastModifiedBy>SáraTC</cp:lastModifiedBy>
  <cp:revision>2</cp:revision>
  <dcterms:created xsi:type="dcterms:W3CDTF">2025-03-21T10:12:00Z</dcterms:created>
  <dcterms:modified xsi:type="dcterms:W3CDTF">2025-03-21T10:12:00Z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)">
    <vt:lpwstr>a)</vt:lpwstr>
  </property>
  <property fmtid="{D5CDD505-2E9C-101B-9397-08002B2CF9AE}" pid="3" name="b)">
    <vt:lpwstr>b)</vt:lpwstr>
  </property>
  <property fmtid="{D5CDD505-2E9C-101B-9397-08002B2CF9AE}" pid="4" name="c)">
    <vt:lpwstr>c)</vt:lpwstr>
  </property>
  <property fmtid="{D5CDD505-2E9C-101B-9397-08002B2CF9AE}" pid="5" name="d)">
    <vt:lpwstr>d)</vt:lpwstr>
  </property>
  <property fmtid="{D5CDD505-2E9C-101B-9397-08002B2CF9AE}" pid="6" name="e)">
    <vt:lpwstr>e)</vt:lpwstr>
  </property>
  <property fmtid="{D5CDD505-2E9C-101B-9397-08002B2CF9AE}" pid="7" name="f)">
    <vt:lpwstr>f)</vt:lpwstr>
  </property>
</Properties>
</file>