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12.79527559055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4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58"/>
        <w:gridCol w:w="4536"/>
        <w:tblGridChange w:id="0">
          <w:tblGrid>
            <w:gridCol w:w="4558"/>
            <w:gridCol w:w="4536"/>
          </w:tblGrid>
        </w:tblGridChange>
      </w:tblGrid>
      <w:tr>
        <w:trPr>
          <w:cantSplit w:val="0"/>
          <w:trHeight w:val="10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Organizace: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234313</wp:posOffset>
                  </wp:positionH>
                  <wp:positionV relativeFrom="paragraph">
                    <wp:posOffset>221615</wp:posOffset>
                  </wp:positionV>
                  <wp:extent cx="2269490" cy="334010"/>
                  <wp:effectExtent b="0" l="0" r="0" t="0"/>
                  <wp:wrapSquare wrapText="bothSides" distB="0" distT="0" distL="114300" distR="11430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490" cy="334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Středisko: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712.79527559055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BETHEL Třinec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Sociální služba: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712.79527559055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Sociální rehabilitace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Počet stran: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712.79527559055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Počet příloh: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-712.79527559055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60" w:lineRule="auto"/>
        <w:ind w:left="0" w:right="-712.79527559055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60" w:lineRule="auto"/>
        <w:ind w:left="0" w:right="-712.79527559055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60" w:lineRule="auto"/>
        <w:ind w:left="0" w:right="-712.79527559055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60" w:lineRule="auto"/>
        <w:ind w:left="0" w:right="-712.79527559055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60" w:lineRule="auto"/>
        <w:ind w:left="0" w:right="-712.79527559055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4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94"/>
        <w:tblGridChange w:id="0">
          <w:tblGrid>
            <w:gridCol w:w="9094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Vnitřní směrnice č.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Podávání a vyřizování stížností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60" w:lineRule="auto"/>
        <w:ind w:left="0" w:right="-712.79527559055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60" w:lineRule="auto"/>
        <w:ind w:left="540" w:right="-712.7952755905511" w:hanging="54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60" w:lineRule="auto"/>
        <w:ind w:left="0" w:right="-712.79527559055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-712.79527559055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787"/>
        <w:gridCol w:w="3196"/>
        <w:gridCol w:w="2268"/>
        <w:gridCol w:w="1821"/>
        <w:tblGridChange w:id="0">
          <w:tblGrid>
            <w:gridCol w:w="1787"/>
            <w:gridCol w:w="3196"/>
            <w:gridCol w:w="2268"/>
            <w:gridCol w:w="1821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Vypracoval: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0"/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Tým pracovníků střediska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1. 10. 2007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Podpis: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Aktualizoval: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Bc. Marek Stebel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Bc. Marek Stebel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Tým pracovníků soc. služby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21. 7. 2010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2. 1. 2013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14. 2. 2014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14. 2. 2015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17. 3. 2025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Podpis: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Schválil: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Mgr. Šárka Ociepková, Dis.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vedoucí střediska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20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Podpis: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Účinnost: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Dnem poslední aktualizace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Závaznost: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-712.79527559055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Vedoucí střediska, koordinátor střediska, sociální pracovník, pracovníci v soc. službách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-712.7952755905511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right="-712.79527559055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Obsah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right="-712.79527559055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Obsah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line="360" w:lineRule="auto"/>
        <w:ind w:left="993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Obecné ustanovení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line="360" w:lineRule="auto"/>
        <w:ind w:left="993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Vymezení pojmů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line="360" w:lineRule="auto"/>
        <w:ind w:left="993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Kdo si může podat stížnost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line="360" w:lineRule="auto"/>
        <w:ind w:left="993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Formy podání stížností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line="360" w:lineRule="auto"/>
        <w:ind w:left="993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Evidence stížnosti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line="360" w:lineRule="auto"/>
        <w:ind w:left="993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Kompetentní pracovníci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line="360" w:lineRule="auto"/>
        <w:ind w:left="993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Řešení stížnosti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line="360" w:lineRule="auto"/>
        <w:ind w:left="993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Způsob předání řešené stížnosti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line="360" w:lineRule="auto"/>
        <w:ind w:left="993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Lhůty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line="360" w:lineRule="auto"/>
        <w:ind w:left="993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Možnosti prověření stížnosti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line="360" w:lineRule="auto"/>
        <w:ind w:left="993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Seznámení klientů, pracovníků s podáním a řešením stížností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712.79527559055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712.79527559055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712.79527559055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line="360" w:lineRule="auto"/>
        <w:ind w:left="283.46456692913375" w:right="-712.7952755905511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Obecné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left="426" w:right="-712.795275590551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Tato vnitřní směrnice upravuje způsob podávání a vyřizování stížností na kvalitu nebo způsob poskytované sociální služby.</w:t>
      </w:r>
    </w:p>
    <w:p w:rsidR="00000000" w:rsidDel="00000000" w:rsidP="00000000" w:rsidRDefault="00000000" w:rsidRPr="00000000" w14:paraId="0000004A">
      <w:pPr>
        <w:spacing w:line="360" w:lineRule="auto"/>
        <w:ind w:left="426" w:right="-712.795275590551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Podání stížnosti nesmí být stěžovateli, nebo osobě, které je nebo byla poskytována sociální služba, jíž se stížnost týká, a která není zároveň stěžovatelem, na újmu.</w:t>
      </w:r>
    </w:p>
    <w:p w:rsidR="00000000" w:rsidDel="00000000" w:rsidP="00000000" w:rsidRDefault="00000000" w:rsidRPr="00000000" w14:paraId="0000004B">
      <w:pPr>
        <w:spacing w:line="360" w:lineRule="auto"/>
        <w:ind w:left="426" w:right="-712.795275590551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line="360" w:lineRule="auto"/>
        <w:ind w:left="283.46456692913375" w:right="-712.7952755905511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Vymezení pojmů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line="360" w:lineRule="auto"/>
        <w:ind w:left="1146" w:right="-712.7952755905511" w:hanging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Stížnost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chápeme jako projev nespokojenosti s kvalitou nebo způsobem poskytování sociální služby. 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line="360" w:lineRule="auto"/>
        <w:ind w:left="1146" w:right="-712.7952755905511" w:hanging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Připomínka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 chápána jako návrh na zlepšení služby nebo způsob jejího poskytování. V případě připomínky jsou obvykle přijata operativní řešení. Připomínkou však nemůže být takové podání, které poukazuje na zásadní nedostatky sociální služby, způsoby poskytování služby, porušování zákonů nebo lidských práv. V tomto případě pracovník naloží s podáním jako se stížností. Jednou ročně jsou vyhodnocovány v souladu s VS 15 Zvyšování kvality sociální služby.</w:t>
      </w:r>
    </w:p>
    <w:p w:rsidR="00000000" w:rsidDel="00000000" w:rsidP="00000000" w:rsidRDefault="00000000" w:rsidRPr="00000000" w14:paraId="0000004F">
      <w:pPr>
        <w:spacing w:line="360" w:lineRule="auto"/>
        <w:ind w:right="-712.79527559055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line="360" w:lineRule="auto"/>
        <w:ind w:left="390" w:right="-712.795275590551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Kdo si může podat stížnost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line="360" w:lineRule="auto"/>
        <w:ind w:left="708.661417322834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Klient, kterému je nebo byla poskytovaná  soc. služba Sociální rehabilitace (dále SR) má právo podat stížnost nebo připomínku (dále jen stížnost) na kvalitu nebo způsob poskytování soc. služby.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line="360" w:lineRule="auto"/>
        <w:ind w:left="708.661417322834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Opatrovník, podpůrce, člen domácnosti (zastoupení členem domácnosti dle § 49 Nového občanského zákoníku č. 89/2012 Sb.) klienta, kterému je nebo byla poskytovaná sociální služba. 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line="360" w:lineRule="auto"/>
        <w:ind w:left="708.661417322834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Osoba blízká, nemůže-li stížnost podat klient, které je nebo byla sociální služba poskytována, s ohledem na svůj zdravotní stav nebo proto, že zemřel.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line="360" w:lineRule="auto"/>
        <w:ind w:left="708.661417322834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Osoba zmocněná klientem, kterému je nebo byla poskytována sociální služba.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line="360" w:lineRule="auto"/>
        <w:ind w:left="708.661417322834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Zaměstnanec sociální služby.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line="360" w:lineRule="auto"/>
        <w:ind w:left="708.661417322834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 zájmu klienta služby nebo ve svém vlastním zájmu může podat stížnost i jakákoliv jiná fyzická či právnická osoba. </w:t>
      </w:r>
    </w:p>
    <w:p w:rsidR="00000000" w:rsidDel="00000000" w:rsidP="00000000" w:rsidRDefault="00000000" w:rsidRPr="00000000" w14:paraId="00000057">
      <w:pPr>
        <w:spacing w:line="360" w:lineRule="auto"/>
        <w:ind w:right="-712.79527559055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right="-712.79527559055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360" w:lineRule="auto"/>
        <w:ind w:left="390" w:right="-712.795275590551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Formy podání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line="360" w:lineRule="auto"/>
        <w:ind w:left="1146" w:hanging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Stížnost může být podána ústně, písemně, e-mailem nebo telefonicky na níže uvedené kontakty. V případě, kdy je stížnost podána k jiným organizacím/osobám než je Bethel Třinec, azylový dům, je služba součinná při řešení stížností. 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line="360" w:lineRule="auto"/>
        <w:ind w:left="1146" w:hanging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Při podání stížnosti ve službě se postupuje takto: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120" w:line="360" w:lineRule="auto"/>
        <w:ind w:left="1417.3228346456694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Ústní stížnost sdělí nebo nadiktuje stěžovatel službukonajícímu pracovníkovi či jakémukoliv pracovníkovi služby, který ji zaznamená do „Formuláře pro písemný záznam stížnosti“ (viz příloha č. 1). Tento formulář je k dispozici v elektronické podobě na Google Disku, v písemné podobě na nástěnce SR naproti vrátnice, v kanceláři sociálního pracovníka služby. Stížnost musí být dostatečně přesně popsána, pokud je to nezbytné, obsahuje konkrétní výroky stěžovatele. Stěžovatel ji po přečtení stvrdí svým podpisem do formuláře. </w:t>
      </w:r>
    </w:p>
    <w:p w:rsidR="00000000" w:rsidDel="00000000" w:rsidP="00000000" w:rsidRDefault="00000000" w:rsidRPr="00000000" w14:paraId="0000005D">
      <w:pPr>
        <w:spacing w:after="120" w:line="360" w:lineRule="auto"/>
        <w:ind w:left="1417.3228346456694" w:right="-712.795275590551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Pracovníci berou vážně obavy stěžovatelů z podávání stížností. Požádá-li o to stěžovatel, je třeba zachovat mlčenlivost o jeho totožnosti. V tomto případě se jedná o stížnost anonymní.</w:t>
      </w:r>
    </w:p>
    <w:p w:rsidR="00000000" w:rsidDel="00000000" w:rsidP="00000000" w:rsidRDefault="00000000" w:rsidRPr="00000000" w14:paraId="0000005E">
      <w:pPr>
        <w:spacing w:after="120" w:line="360" w:lineRule="auto"/>
        <w:ind w:left="1417.3228346456694" w:right="-712.795275590551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Ústní stížnost může být zaznamenána rovněž pracovníkem, který vede schůzku s klienty služby. </w:t>
      </w:r>
    </w:p>
    <w:p w:rsidR="00000000" w:rsidDel="00000000" w:rsidP="00000000" w:rsidRDefault="00000000" w:rsidRPr="00000000" w14:paraId="0000005F">
      <w:pPr>
        <w:spacing w:after="120" w:line="360" w:lineRule="auto"/>
        <w:ind w:left="1417.3228346456694" w:right="-712.795275590551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Pracovník, který zaznamená ústní stížnost, ji následně doručí kompetentnímu pracovníkovi služby (viz bod 6). 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120" w:line="360" w:lineRule="auto"/>
        <w:ind w:left="1417.3228346456694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Písemnou stížnost je možno napsat na samostatný papír nebo do „Formuláře pro písemný záznam stížnosti“. Tyto formuláře jsou k dispozici na nástěnce SR naproti vrátnice, popř. v kanceláři u sociálního pracovníka. Schránka, do které mohou klienti své stížnosti vhazovat, se nachází u vstupních dveří vedle pokoje č. 9 na 1. patře. Stejně tak je možno písemnou stížnost předat kterémukoliv přítomnému pracovníkovi na středisku, který ji předá kompetentním pracovníkům (viz bod 6a).</w:t>
      </w:r>
    </w:p>
    <w:p w:rsidR="00000000" w:rsidDel="00000000" w:rsidP="00000000" w:rsidRDefault="00000000" w:rsidRPr="00000000" w14:paraId="00000061">
      <w:pPr>
        <w:spacing w:line="360" w:lineRule="auto"/>
        <w:ind w:left="1417.3228346456694" w:right="-712.795275590551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anonymní podání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stížnosti může klient využít schránku stížností. Schránka je pravidelně kontrolována 1x týdně (v pondělí). Kontrolu schránky stížností provádí vždy 2 pracovníci. O kontrole schránky se provádí záznam do příslušného formuláře (viz příloha č. 2), který je k dispozici v kanceláři koordinátora střediska.  </w:t>
      </w:r>
    </w:p>
    <w:p w:rsidR="00000000" w:rsidDel="00000000" w:rsidP="00000000" w:rsidRDefault="00000000" w:rsidRPr="00000000" w14:paraId="00000062">
      <w:pPr>
        <w:spacing w:after="120" w:line="360" w:lineRule="auto"/>
        <w:ind w:left="1417.3228346456694" w:right="-712.795275590551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Při dotazníkovém šetření o spokojenosti se službou je rovněž možno uvést anonymně stížnost týkající se služby. 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120" w:line="360" w:lineRule="auto"/>
        <w:ind w:left="1417.3228346456694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Stížnost je možno zaslat rovněž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formou e-mailu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33cc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K 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omuto emailu má přístup vedoucí střediska a kontroluje jej průběžně každý pracovní den.</w:t>
      </w: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 Emailové adresy jsou k dispozici na letáku služby, na tabuli budovy střediska a na internetových stránkách SD.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line="360" w:lineRule="auto"/>
        <w:ind w:left="1417.3228346456694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Stížnost je možno předat rovněž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telefonicky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na číslo pevné linky střediska nebo na mobilní číslo koordinátora nebo vedoucího střediska. Kontakty jsou k dispozici na letáku služby, na budově střediska, na internetových stránkách Slezské diakonie, v brožuře „Průvodce sociálními službami a návaznými aktivitami města Třince a okolí“. Pracovník zjišťuje, jakým způsobem chce být volající informován o vyřízení stížnosti a na základě toho dále postupuje. Telefonická stížnost je zapsána do „Formuláře pro písemný záznam stížnosti“ a předána k řešení kompetentnímu pracovníkovi. </w:t>
      </w:r>
    </w:p>
    <w:p w:rsidR="00000000" w:rsidDel="00000000" w:rsidP="00000000" w:rsidRDefault="00000000" w:rsidRPr="00000000" w14:paraId="00000065">
      <w:pPr>
        <w:spacing w:line="360" w:lineRule="auto"/>
        <w:ind w:right="-712.79527559055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right="-712.79527559055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Kontakty pro podávání stížností:</w:t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Bethel  Třinec, azylový dům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Frýdecká 191, 739 61 Třinec</w:t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558 990 421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Mgr. Šárka Ociepková, DiS., vedoucí střediska</w:t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737 206 445, e-mail: bethel.tc@slezskadiakonie.cz 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Bc. Monika Heczková, koordinátor střediska</w:t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734 769 702, e-mail: sp.betheltc.ad@slezskadiakonie.cz</w:t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Vedoucí oblasti Frýdek-Místek, Třinec Bc. Marek Stebel</w:t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Hraniční 280, 739 61 Třinec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704 675 715, email: m.stebel@slezskadiakonie.cz</w:t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Slezská diakonie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Nivách 7/259, 737 01 Český Těšín</w:t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Vedení Slezské diakonie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Mgr. Zuzana Filipková, Ph.D., ředitelka </w:t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730 166 120, e-mail: ustredi@slezskadiakonie.cz</w:t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Mgr. Ing. Romana Bélová, náměstkyně ředitelky</w:t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tel: 731 199 480, e-mail: r.belova@slezskadiakonie.cz</w:t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Další možnosti podání stížnosti:</w:t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Zřizovatel Slezské diakonie</w:t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Slezská církev evangelická a.v.</w:t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Na Nivách 7/259, 737 01 Český Těšín</w:t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558 764 380, e-mail: sekretariat@sceav.cz </w:t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Kancelář veřejného ochránce práv</w:t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Údolní 658, 602 00 Brno-střed</w:t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tel: 542 542 888, e-mail: podatelna@ochrance.cz</w:t>
      </w:r>
    </w:p>
    <w:p w:rsidR="00000000" w:rsidDel="00000000" w:rsidP="00000000" w:rsidRDefault="00000000" w:rsidRPr="00000000" w14:paraId="0000008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ind w:right="-712.79527559055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pacing w:line="360" w:lineRule="auto"/>
        <w:ind w:left="283.46456692913375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Evidence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3"/>
        </w:numPr>
        <w:spacing w:line="360" w:lineRule="auto"/>
        <w:ind w:left="850.3937007874017" w:right="-712.7952755905511" w:hanging="283.464566929134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Každou přijatou stížnost eviduje a řeší kompetentní pracovník. Ten stížnost zaznamená elektronicky v „Evidenci přijatých stížností“. </w:t>
      </w:r>
    </w:p>
    <w:p w:rsidR="00000000" w:rsidDel="00000000" w:rsidP="00000000" w:rsidRDefault="00000000" w:rsidRPr="00000000" w14:paraId="0000008D">
      <w:pPr>
        <w:numPr>
          <w:ilvl w:val="1"/>
          <w:numId w:val="3"/>
        </w:numPr>
        <w:spacing w:line="360" w:lineRule="auto"/>
        <w:ind w:left="850.3937007874017" w:right="-712.7952755905511" w:hanging="283.464566929134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„Formulář pro písemný záznam stížnosti“ a „Formulář řešení stížnosti” je založen v šanonu v uzamčené kanceláři koordinátora střediska. </w:t>
      </w:r>
    </w:p>
    <w:p w:rsidR="00000000" w:rsidDel="00000000" w:rsidP="00000000" w:rsidRDefault="00000000" w:rsidRPr="00000000" w14:paraId="0000008E">
      <w:pPr>
        <w:numPr>
          <w:ilvl w:val="1"/>
          <w:numId w:val="3"/>
        </w:numPr>
        <w:spacing w:line="360" w:lineRule="auto"/>
        <w:ind w:left="850.3937007874017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Stěžovateli je umožněno na jeho žádost nahlédnutí do dokumentace, která je vedena o jeho stížnosti (Formulář pro písemný záznam stížnosti a Formulář pro řešení stížností), dle potřeby obdrží jeji kopii. </w:t>
      </w:r>
    </w:p>
    <w:p w:rsidR="00000000" w:rsidDel="00000000" w:rsidP="00000000" w:rsidRDefault="00000000" w:rsidRPr="00000000" w14:paraId="0000008F">
      <w:pPr>
        <w:spacing w:line="360" w:lineRule="auto"/>
        <w:ind w:right="-712.79527559055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spacing w:line="360" w:lineRule="auto"/>
        <w:ind w:left="283.46456692913375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Kompetentní pracovníci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3"/>
        </w:numPr>
        <w:spacing w:line="360" w:lineRule="auto"/>
        <w:ind w:left="850.393700787401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 evidenci a řešení stížností je zodpovědný koordinátor střediska. V případě jeho dlouhodobé nepřítomnosti (delší než 5 pracovních dnů) stížnosti eviduje a řeší vedoucí střediska.</w:t>
      </w:r>
    </w:p>
    <w:p w:rsidR="00000000" w:rsidDel="00000000" w:rsidP="00000000" w:rsidRDefault="00000000" w:rsidRPr="00000000" w14:paraId="00000092">
      <w:pPr>
        <w:numPr>
          <w:ilvl w:val="1"/>
          <w:numId w:val="3"/>
        </w:numPr>
        <w:spacing w:line="360" w:lineRule="auto"/>
        <w:ind w:left="850.393700787401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Kompetentní pracovník je zodpovědný rovněž za vyhodnocení stížností (viz bod 12).</w:t>
      </w:r>
    </w:p>
    <w:p w:rsidR="00000000" w:rsidDel="00000000" w:rsidP="00000000" w:rsidRDefault="00000000" w:rsidRPr="00000000" w14:paraId="00000093">
      <w:pPr>
        <w:numPr>
          <w:ilvl w:val="1"/>
          <w:numId w:val="3"/>
        </w:numPr>
        <w:spacing w:line="360" w:lineRule="auto"/>
        <w:ind w:left="850.393700787401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Stížnost podána přímo na vedoucího služby je vyřizována vedoucím oblasti Frýdek-Místek, Třinec. </w:t>
      </w:r>
    </w:p>
    <w:p w:rsidR="00000000" w:rsidDel="00000000" w:rsidP="00000000" w:rsidRDefault="00000000" w:rsidRPr="00000000" w14:paraId="00000094">
      <w:pPr>
        <w:spacing w:line="360" w:lineRule="auto"/>
        <w:ind w:left="566.9291338582675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spacing w:line="360" w:lineRule="auto"/>
        <w:ind w:left="283.46456692913375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Řešení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3"/>
        </w:numPr>
        <w:spacing w:line="360" w:lineRule="auto"/>
        <w:ind w:left="850.393700787401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Pracovník, který vyřizuje stížnost, zjistí všechny okolnosti předmětného podání (využije studium dokumentace, rozhovory s účastníky, příp. další postupy). Konfrontace zúčastněných stran je možná pouze se souhlasem všech zúčastněných. </w:t>
      </w:r>
    </w:p>
    <w:p w:rsidR="00000000" w:rsidDel="00000000" w:rsidP="00000000" w:rsidRDefault="00000000" w:rsidRPr="00000000" w14:paraId="00000097">
      <w:pPr>
        <w:numPr>
          <w:ilvl w:val="1"/>
          <w:numId w:val="3"/>
        </w:numPr>
        <w:spacing w:line="360" w:lineRule="auto"/>
        <w:ind w:left="850.393700787401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Vyřízení stížnosti obsahuje odpovědi na všechny části stížnosti, přijatá opatření k odstranění zjištěných závad, popřípadě jiné možnosti vedoucí ke zlepšení stavu. </w:t>
      </w:r>
    </w:p>
    <w:p w:rsidR="00000000" w:rsidDel="00000000" w:rsidP="00000000" w:rsidRDefault="00000000" w:rsidRPr="00000000" w14:paraId="00000098">
      <w:pPr>
        <w:numPr>
          <w:ilvl w:val="1"/>
          <w:numId w:val="3"/>
        </w:numPr>
        <w:spacing w:line="360" w:lineRule="auto"/>
        <w:ind w:left="850.393700787401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Odpověď na stížnost musí být písemná, uvádí se do „Formuláře pro řešení stížnosti”. </w:t>
      </w:r>
    </w:p>
    <w:p w:rsidR="00000000" w:rsidDel="00000000" w:rsidP="00000000" w:rsidRDefault="00000000" w:rsidRPr="00000000" w14:paraId="00000099">
      <w:pPr>
        <w:numPr>
          <w:ilvl w:val="1"/>
          <w:numId w:val="3"/>
        </w:numPr>
        <w:spacing w:line="360" w:lineRule="auto"/>
        <w:ind w:left="850.3937007874017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Sociální služba je povinna poskytnout ministerstvu součinnost při prověření vyřízení stížnosti, když stěžovatel požádal ministerstvo o prověření vyřízení stížnosti. Pokud byla poskytovateli po prošetření uložena povinnost odstranit nevyhovující stav, ten ve lhůtě stanovené ministerstvem odstraní a podá o tom ministerstvu písemnou zprávu.</w:t>
      </w:r>
    </w:p>
    <w:p w:rsidR="00000000" w:rsidDel="00000000" w:rsidP="00000000" w:rsidRDefault="00000000" w:rsidRPr="00000000" w14:paraId="0000009A">
      <w:pPr>
        <w:spacing w:line="360" w:lineRule="auto"/>
        <w:ind w:right="-712.79527559055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spacing w:line="360" w:lineRule="auto"/>
        <w:ind w:left="283.46456692913375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Způsob předání řešené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1"/>
          <w:numId w:val="3"/>
        </w:numPr>
        <w:spacing w:line="360" w:lineRule="auto"/>
        <w:ind w:left="850.393700787401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Ústně podaná stížnost</w:t>
      </w:r>
    </w:p>
    <w:p w:rsidR="00000000" w:rsidDel="00000000" w:rsidP="00000000" w:rsidRDefault="00000000" w:rsidRPr="00000000" w14:paraId="0000009D">
      <w:pPr>
        <w:spacing w:after="120" w:line="360" w:lineRule="auto"/>
        <w:ind w:left="850.3937007874017" w:right="-712.795275590551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Řešení stížnosti kompetentní pracovník předá osobně stěžovateli (v písemné formě ve formuláři). Je předáno ve dvojím provedení, přičemž jedno vyhotovení si ponechává klient, druhé s podpisem stěžovatele se založí do šanonu stížností.</w:t>
      </w:r>
    </w:p>
    <w:p w:rsidR="00000000" w:rsidDel="00000000" w:rsidP="00000000" w:rsidRDefault="00000000" w:rsidRPr="00000000" w14:paraId="0000009E">
      <w:pPr>
        <w:numPr>
          <w:ilvl w:val="1"/>
          <w:numId w:val="3"/>
        </w:numPr>
        <w:spacing w:line="360" w:lineRule="auto"/>
        <w:ind w:left="850.393700787401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Písemná stížnost</w:t>
      </w:r>
    </w:p>
    <w:p w:rsidR="00000000" w:rsidDel="00000000" w:rsidP="00000000" w:rsidRDefault="00000000" w:rsidRPr="00000000" w14:paraId="0000009F">
      <w:pPr>
        <w:spacing w:after="120" w:line="360" w:lineRule="auto"/>
        <w:ind w:left="850.3937007874017" w:right="-712.795275590551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Anonymní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Pokud je stížnost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anonymní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(osoba neuvede své jméno, ani žádný kontakt na sebe), řešení stížnosti je vyvěšeno na nástěnce před vrátnicí služby a to po dobu 30 kalendářních dnů. </w:t>
      </w:r>
    </w:p>
    <w:p w:rsidR="00000000" w:rsidDel="00000000" w:rsidP="00000000" w:rsidRDefault="00000000" w:rsidRPr="00000000" w14:paraId="000000A0">
      <w:pPr>
        <w:spacing w:after="120" w:line="360" w:lineRule="auto"/>
        <w:ind w:left="850.3937007874017" w:right="-712.795275590551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Neanonymní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řešení stížnosti sociální pracovník předá osobně stěžovateli. Je předáno ve dvojím provedení, přičemž jedno vyhotovení si ponechává klient, druhé s podpisem stěžovatele se založí do šanonu stížností.</w:t>
      </w:r>
    </w:p>
    <w:p w:rsidR="00000000" w:rsidDel="00000000" w:rsidP="00000000" w:rsidRDefault="00000000" w:rsidRPr="00000000" w14:paraId="000000A1">
      <w:pPr>
        <w:spacing w:after="120" w:line="360" w:lineRule="auto"/>
        <w:ind w:left="850.3937007874017" w:right="-712.795275590551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Řešení stížnosti vznesené na schůzce s klienty služby je zveřejněno na nástěnce (hlavní nástěnka u vrátnice) po dobu 30 kalendářních dnů.</w:t>
      </w:r>
    </w:p>
    <w:p w:rsidR="00000000" w:rsidDel="00000000" w:rsidP="00000000" w:rsidRDefault="00000000" w:rsidRPr="00000000" w14:paraId="000000A2">
      <w:pPr>
        <w:spacing w:after="120" w:line="360" w:lineRule="auto"/>
        <w:ind w:left="850.3937007874017" w:right="-712.795275590551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Poštou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řešení stížnosti se zasílá poštou na uvedenou adresu, pokud není uvedena, postupujeme jako u anonymní (viz výše).</w:t>
      </w:r>
    </w:p>
    <w:p w:rsidR="00000000" w:rsidDel="00000000" w:rsidP="00000000" w:rsidRDefault="00000000" w:rsidRPr="00000000" w14:paraId="000000A3">
      <w:pPr>
        <w:numPr>
          <w:ilvl w:val="1"/>
          <w:numId w:val="3"/>
        </w:numPr>
        <w:spacing w:after="120" w:line="360" w:lineRule="auto"/>
        <w:ind w:left="850.393700787401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Emailem -  řešení odesíláme zpět na mailovou adresu, ze které stížnost byla doručena.</w:t>
      </w:r>
    </w:p>
    <w:p w:rsidR="00000000" w:rsidDel="00000000" w:rsidP="00000000" w:rsidRDefault="00000000" w:rsidRPr="00000000" w14:paraId="000000A4">
      <w:pPr>
        <w:numPr>
          <w:ilvl w:val="1"/>
          <w:numId w:val="3"/>
        </w:numPr>
        <w:spacing w:after="120" w:line="360" w:lineRule="auto"/>
        <w:ind w:left="850.393700787401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Telefonicky – řešení stížnosti je předáno dotyčnému dle předem dohodnutého způsobu předání (telefonicky, poštou, vyvěšením na dveře jako u anonymní stížnosti).</w:t>
      </w:r>
    </w:p>
    <w:p w:rsidR="00000000" w:rsidDel="00000000" w:rsidP="00000000" w:rsidRDefault="00000000" w:rsidRPr="00000000" w14:paraId="000000A5">
      <w:pPr>
        <w:spacing w:line="360" w:lineRule="auto"/>
        <w:ind w:right="-712.79527559055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spacing w:line="360" w:lineRule="auto"/>
        <w:ind w:left="283.46456692913375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Lhůty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1"/>
          <w:numId w:val="3"/>
        </w:numPr>
        <w:spacing w:line="360" w:lineRule="auto"/>
        <w:ind w:left="850.393700787401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Stížnosti se vyřizují bez zbytečných průtahů do 30 kalendářních dnů od podání stížnosti.</w:t>
      </w:r>
    </w:p>
    <w:p w:rsidR="00000000" w:rsidDel="00000000" w:rsidP="00000000" w:rsidRDefault="00000000" w:rsidRPr="00000000" w14:paraId="000000A8">
      <w:pPr>
        <w:numPr>
          <w:ilvl w:val="1"/>
          <w:numId w:val="3"/>
        </w:numPr>
        <w:spacing w:after="240" w:line="360" w:lineRule="auto"/>
        <w:ind w:left="850.393700787401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Lhůta může být v odůvodněných případech prodloužena o dalších 30 kalendářních dnů. O prodloužení lhůty a důvodech je stěžovatel informován kompetentním pracovníkem. V případě anonymní stížnosti je informace o prodloužení lhůty vyvěšena na nástěnce SR ve vestibulu střediska.</w:t>
      </w:r>
    </w:p>
    <w:p w:rsidR="00000000" w:rsidDel="00000000" w:rsidP="00000000" w:rsidRDefault="00000000" w:rsidRPr="00000000" w14:paraId="000000A9">
      <w:pPr>
        <w:numPr>
          <w:ilvl w:val="1"/>
          <w:numId w:val="3"/>
        </w:numPr>
        <w:spacing w:after="240" w:line="360" w:lineRule="auto"/>
        <w:ind w:left="850.3937007874017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Stížnost se podává ve lhůtě 1 roku ode dne, kdy nastala skutečnost, která je předmětem stížnosti. </w:t>
      </w:r>
    </w:p>
    <w:p w:rsidR="00000000" w:rsidDel="00000000" w:rsidP="00000000" w:rsidRDefault="00000000" w:rsidRPr="00000000" w14:paraId="000000AA">
      <w:pPr>
        <w:numPr>
          <w:ilvl w:val="0"/>
          <w:numId w:val="3"/>
        </w:numPr>
        <w:spacing w:line="360" w:lineRule="auto"/>
        <w:ind w:left="283.46456692913375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Možnosti prověření stížnosti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line="276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V případě nesouhlasu stěžovatele s vyřízením stížnosti nebo v případě, kdy stížnost nebyla vyřízena ve stanovené lhůtě, je možno požádat ve lhůtě 60 dní MPSV ČR o prověření vyřízení této stížnosti na:</w:t>
      </w:r>
    </w:p>
    <w:p w:rsidR="00000000" w:rsidDel="00000000" w:rsidP="00000000" w:rsidRDefault="00000000" w:rsidRPr="00000000" w14:paraId="000000AC">
      <w:pPr>
        <w:shd w:fill="ffffff" w:val="clear"/>
        <w:spacing w:line="276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Ministerstvo práce a sociálních věcí</w:t>
      </w:r>
    </w:p>
    <w:p w:rsidR="00000000" w:rsidDel="00000000" w:rsidP="00000000" w:rsidRDefault="00000000" w:rsidRPr="00000000" w14:paraId="000000AE">
      <w:pPr>
        <w:shd w:fill="ffffff" w:val="clear"/>
        <w:spacing w:line="276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- Na Poříčním právu 1/376 128 01 Praha 2</w:t>
      </w:r>
    </w:p>
    <w:p w:rsidR="00000000" w:rsidDel="00000000" w:rsidP="00000000" w:rsidRDefault="00000000" w:rsidRPr="00000000" w14:paraId="000000AF">
      <w:pPr>
        <w:shd w:fill="ffffff" w:val="clear"/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- tel: 950 191 111, e-mail: posta@mpsv.cz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ind w:right="-712.79527559055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ind w:right="-712.79527559055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spacing w:line="360" w:lineRule="auto"/>
        <w:ind w:left="283.46456692913375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Seznámení klientů, pracovníků s podáním a řešením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1"/>
          <w:numId w:val="3"/>
        </w:numPr>
        <w:spacing w:line="360" w:lineRule="auto"/>
        <w:ind w:left="708.661417322834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Klienti služby jsou se způsobem podávání a vyřizování stížností seznámeni v rámci procesu uzavírání smlouvy. </w:t>
      </w:r>
    </w:p>
    <w:p w:rsidR="00000000" w:rsidDel="00000000" w:rsidP="00000000" w:rsidRDefault="00000000" w:rsidRPr="00000000" w14:paraId="000000B4">
      <w:pPr>
        <w:numPr>
          <w:ilvl w:val="1"/>
          <w:numId w:val="3"/>
        </w:numPr>
        <w:spacing w:line="360" w:lineRule="auto"/>
        <w:ind w:left="708.661417322834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Informace o podání stížností je rovněž vyvěšena u schránky stížnosti.</w:t>
      </w:r>
    </w:p>
    <w:p w:rsidR="00000000" w:rsidDel="00000000" w:rsidP="00000000" w:rsidRDefault="00000000" w:rsidRPr="00000000" w14:paraId="000000B5">
      <w:pPr>
        <w:numPr>
          <w:ilvl w:val="1"/>
          <w:numId w:val="3"/>
        </w:numPr>
        <w:spacing w:line="360" w:lineRule="auto"/>
        <w:ind w:left="708.661417322834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 průběhu poskytování služby je jim tato možnost připomínána. Rovněž při každé aktualizaci této směrnice jsou klienti o tomto informováni.</w:t>
      </w:r>
    </w:p>
    <w:p w:rsidR="00000000" w:rsidDel="00000000" w:rsidP="00000000" w:rsidRDefault="00000000" w:rsidRPr="00000000" w14:paraId="000000B6">
      <w:pPr>
        <w:numPr>
          <w:ilvl w:val="1"/>
          <w:numId w:val="3"/>
        </w:numPr>
        <w:spacing w:line="360" w:lineRule="auto"/>
        <w:ind w:left="708.6614173228347" w:right="-712.7952755905511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Nově přijatý pracovník je prokazatelně seznámen s touto vnitřní směrnicí v době zácviku a následně jsou všichni pracovníci seznámeni s každou aktualizací vnitřní směrnice. </w:t>
      </w:r>
    </w:p>
    <w:p w:rsidR="00000000" w:rsidDel="00000000" w:rsidP="00000000" w:rsidRDefault="00000000" w:rsidRPr="00000000" w14:paraId="000000B7">
      <w:pPr>
        <w:spacing w:line="360" w:lineRule="auto"/>
        <w:ind w:left="900" w:right="-712.795275590551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ind w:left="900" w:right="-712.795275590551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ind w:right="-712.7952755905511"/>
        <w:jc w:val="both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Seznam příloh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Příloha č. 1 „Formulář pro písemný záznam stížnosti“ </w:t>
      </w:r>
    </w:p>
    <w:p w:rsidR="00000000" w:rsidDel="00000000" w:rsidP="00000000" w:rsidRDefault="00000000" w:rsidRPr="00000000" w14:paraId="000000BB">
      <w:pPr>
        <w:tabs>
          <w:tab w:val="center" w:leader="none" w:pos="4536"/>
          <w:tab w:val="right" w:leader="none" w:pos="9072"/>
        </w:tabs>
        <w:spacing w:line="360" w:lineRule="auto"/>
        <w:rPr>
          <w:rFonts w:ascii="Arial" w:cs="Arial" w:eastAsia="Arial" w:hAnsi="Arial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d0d0d"/>
          <w:sz w:val="24"/>
          <w:szCs w:val="24"/>
          <w:rtl w:val="0"/>
        </w:rPr>
        <w:t xml:space="preserve">Příloha č. 2 „Kontrola schránky stížností“</w:t>
      </w:r>
    </w:p>
    <w:p w:rsidR="00000000" w:rsidDel="00000000" w:rsidP="00000000" w:rsidRDefault="00000000" w:rsidRPr="00000000" w14:paraId="000000BC">
      <w:pPr>
        <w:tabs>
          <w:tab w:val="center" w:leader="none" w:pos="4536"/>
          <w:tab w:val="right" w:leader="none" w:pos="9072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Příloha č. 3 „Evidence přijatých stížností“ </w:t>
      </w:r>
    </w:p>
    <w:p w:rsidR="00000000" w:rsidDel="00000000" w:rsidP="00000000" w:rsidRDefault="00000000" w:rsidRPr="00000000" w14:paraId="000000BD">
      <w:pPr>
        <w:tabs>
          <w:tab w:val="center" w:leader="none" w:pos="4536"/>
          <w:tab w:val="right" w:leader="none" w:pos="9072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Příloha č. 4 „Formulář pro řešení stížnosti“ </w:t>
      </w:r>
    </w:p>
    <w:p w:rsidR="00000000" w:rsidDel="00000000" w:rsidP="00000000" w:rsidRDefault="00000000" w:rsidRPr="00000000" w14:paraId="000000BE">
      <w:pPr>
        <w:tabs>
          <w:tab w:val="center" w:leader="none" w:pos="4536"/>
          <w:tab w:val="right" w:leader="none" w:pos="9072"/>
        </w:tabs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Příloha č. 5 „Postup pro podání stížnosti pro klienty”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12.795275590551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8" w:top="1418" w:left="1418" w:right="155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z 8</w:t>
    </w:r>
  </w:p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390" w:hanging="390"/>
      </w:pPr>
      <w:rPr>
        <w:u w:val="no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1572" w:hanging="720.0000000000001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784" w:hanging="1080.000000000000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5568" w:hanging="2160.0000000000005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390" w:hanging="390"/>
      </w:pPr>
      <w:rPr>
        <w:u w:val="no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1572" w:hanging="720.0000000000001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784" w:hanging="1080.000000000000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5568" w:hanging="2160.0000000000005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283.46456692913375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87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1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7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425.196850393700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5">
    <w:lvl w:ilvl="0">
      <w:start w:val="3"/>
      <w:numFmt w:val="bullet"/>
      <w:lvlText w:val="●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●.%2"/>
      <w:lvlJc w:val="left"/>
      <w:pPr>
        <w:ind w:left="900" w:hanging="360"/>
      </w:pPr>
      <w:rPr>
        <w:vertAlign w:val="baseline"/>
      </w:rPr>
    </w:lvl>
    <w:lvl w:ilvl="2">
      <w:start w:val="1"/>
      <w:numFmt w:val="decimal"/>
      <w:lvlText w:val="●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●.%2.%3.%4"/>
      <w:lvlJc w:val="left"/>
      <w:pPr>
        <w:ind w:left="2700" w:hanging="1080"/>
      </w:pPr>
      <w:rPr>
        <w:vertAlign w:val="baseline"/>
      </w:rPr>
    </w:lvl>
    <w:lvl w:ilvl="4">
      <w:start w:val="1"/>
      <w:numFmt w:val="decimal"/>
      <w:lvlText w:val="●.%2.%3.%4.%5"/>
      <w:lvlJc w:val="left"/>
      <w:pPr>
        <w:ind w:left="3240" w:hanging="1080"/>
      </w:pPr>
      <w:rPr>
        <w:vertAlign w:val="baseline"/>
      </w:rPr>
    </w:lvl>
    <w:lvl w:ilvl="5">
      <w:start w:val="1"/>
      <w:numFmt w:val="decimal"/>
      <w:lvlText w:val="●.%2.%3.%4.%5.%6"/>
      <w:lvlJc w:val="left"/>
      <w:pPr>
        <w:ind w:left="4140" w:hanging="1440"/>
      </w:pPr>
      <w:rPr>
        <w:vertAlign w:val="baseline"/>
      </w:rPr>
    </w:lvl>
    <w:lvl w:ilvl="6">
      <w:start w:val="1"/>
      <w:numFmt w:val="decimal"/>
      <w:lvlText w:val="●.%2.%3.%4.%5.%6.%7"/>
      <w:lvlJc w:val="left"/>
      <w:pPr>
        <w:ind w:left="4680" w:hanging="1440"/>
      </w:pPr>
      <w:rPr>
        <w:vertAlign w:val="baseline"/>
      </w:rPr>
    </w:lvl>
    <w:lvl w:ilvl="7">
      <w:start w:val="1"/>
      <w:numFmt w:val="decimal"/>
      <w:lvlText w:val="●.%2.%3.%4.%5.%6.%7.%8"/>
      <w:lvlJc w:val="left"/>
      <w:pPr>
        <w:ind w:left="5580" w:hanging="1800"/>
      </w:pPr>
      <w:rPr>
        <w:vertAlign w:val="baseline"/>
      </w:rPr>
    </w:lvl>
    <w:lvl w:ilvl="8">
      <w:start w:val="1"/>
      <w:numFmt w:val="decimal"/>
      <w:lvlText w:val="●.%2.%3.%4.%5.%6.%7.%8.%9"/>
      <w:lvlJc w:val="left"/>
      <w:pPr>
        <w:ind w:left="6120" w:hanging="180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913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3404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4255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5597" w:hanging="1799.9999999999995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6088" w:hanging="18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