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636" w:rsidRDefault="004C0325">
      <w:pPr>
        <w:pBdr>
          <w:top w:val="nil"/>
          <w:left w:val="nil"/>
          <w:bottom w:val="nil"/>
          <w:right w:val="nil"/>
          <w:between w:val="nil"/>
        </w:pBdr>
        <w:jc w:val="center"/>
        <w:rPr>
          <w:rFonts w:ascii="Arial" w:eastAsia="Arial" w:hAnsi="Arial" w:cs="Arial"/>
          <w:color w:val="000000"/>
          <w:sz w:val="28"/>
          <w:szCs w:val="28"/>
        </w:rPr>
      </w:pPr>
      <w:bookmarkStart w:id="0" w:name="_gjdgxs" w:colFirst="0" w:colLast="0"/>
      <w:bookmarkEnd w:id="0"/>
      <w:r>
        <w:rPr>
          <w:noProof/>
        </w:rPr>
        <w:drawing>
          <wp:anchor distT="0" distB="0" distL="114300" distR="114300" simplePos="0" relativeHeight="251658240" behindDoc="0" locked="0" layoutInCell="1" hidden="0" allowOverlap="1">
            <wp:simplePos x="0" y="0"/>
            <wp:positionH relativeFrom="column">
              <wp:posOffset>824230</wp:posOffset>
            </wp:positionH>
            <wp:positionV relativeFrom="paragraph">
              <wp:posOffset>-460368</wp:posOffset>
            </wp:positionV>
            <wp:extent cx="3735705" cy="58356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35705" cy="583565"/>
                    </a:xfrm>
                    <a:prstGeom prst="rect">
                      <a:avLst/>
                    </a:prstGeom>
                    <a:ln/>
                  </pic:spPr>
                </pic:pic>
              </a:graphicData>
            </a:graphic>
          </wp:anchor>
        </w:drawing>
      </w:r>
    </w:p>
    <w:p w:rsidR="00E47636" w:rsidRDefault="00E47636">
      <w:pPr>
        <w:pBdr>
          <w:top w:val="nil"/>
          <w:left w:val="nil"/>
          <w:bottom w:val="nil"/>
          <w:right w:val="nil"/>
          <w:between w:val="nil"/>
        </w:pBdr>
        <w:jc w:val="center"/>
        <w:rPr>
          <w:rFonts w:ascii="Arial" w:eastAsia="Arial" w:hAnsi="Arial" w:cs="Arial"/>
          <w:color w:val="000000"/>
          <w:sz w:val="28"/>
          <w:szCs w:val="28"/>
        </w:rPr>
      </w:pPr>
    </w:p>
    <w:p w:rsidR="00E47636" w:rsidRDefault="004C0325">
      <w:pPr>
        <w:pBdr>
          <w:top w:val="nil"/>
          <w:left w:val="nil"/>
          <w:bottom w:val="nil"/>
          <w:right w:val="nil"/>
          <w:between w:val="nil"/>
        </w:pBdr>
        <w:jc w:val="center"/>
        <w:rPr>
          <w:rFonts w:ascii="Arial" w:eastAsia="Arial" w:hAnsi="Arial" w:cs="Arial"/>
          <w:color w:val="000000"/>
          <w:sz w:val="28"/>
          <w:szCs w:val="28"/>
        </w:rPr>
      </w:pPr>
      <w:r>
        <w:rPr>
          <w:noProof/>
        </w:rPr>
        <mc:AlternateContent>
          <mc:Choice Requires="wpg">
            <w:drawing>
              <wp:anchor distT="0" distB="0" distL="114300" distR="114300" simplePos="0" relativeHeight="251659264" behindDoc="0" locked="0" layoutInCell="1" hidden="0" allowOverlap="1">
                <wp:simplePos x="0" y="0"/>
                <wp:positionH relativeFrom="column">
                  <wp:posOffset>546100</wp:posOffset>
                </wp:positionH>
                <wp:positionV relativeFrom="paragraph">
                  <wp:posOffset>12700</wp:posOffset>
                </wp:positionV>
                <wp:extent cx="4462145" cy="1479550"/>
                <wp:effectExtent l="0" t="0" r="0" b="0"/>
                <wp:wrapSquare wrapText="bothSides" distT="0" distB="0" distL="114300" distR="114300"/>
                <wp:docPr id="2" name="Zaoblený obdélník 2"/>
                <wp:cNvGraphicFramePr/>
                <a:graphic xmlns:a="http://schemas.openxmlformats.org/drawingml/2006/main">
                  <a:graphicData uri="http://schemas.microsoft.com/office/word/2010/wordprocessingShape">
                    <wps:wsp>
                      <wps:cNvSpPr/>
                      <wps:spPr>
                        <a:xfrm>
                          <a:off x="3140328" y="3065625"/>
                          <a:ext cx="4411345" cy="1428750"/>
                        </a:xfrm>
                        <a:prstGeom prst="roundRect">
                          <a:avLst>
                            <a:gd name="adj" fmla="val 16667"/>
                          </a:avLst>
                        </a:prstGeom>
                        <a:solidFill>
                          <a:schemeClr val="lt1"/>
                        </a:solidFill>
                        <a:ln w="25400" cap="flat" cmpd="sng">
                          <a:solidFill>
                            <a:schemeClr val="accent1"/>
                          </a:solidFill>
                          <a:prstDash val="solid"/>
                          <a:round/>
                          <a:headEnd type="none" w="sm" len="sm"/>
                          <a:tailEnd type="none" w="sm" len="sm"/>
                        </a:ln>
                      </wps:spPr>
                      <wps:txbx>
                        <w:txbxContent>
                          <w:p w:rsidR="00E47636" w:rsidRDefault="004C0325">
                            <w:pPr>
                              <w:spacing w:after="200" w:line="360" w:lineRule="auto"/>
                              <w:jc w:val="center"/>
                              <w:textDirection w:val="btLr"/>
                            </w:pPr>
                            <w:r>
                              <w:rPr>
                                <w:rFonts w:ascii="Arial" w:eastAsia="Arial" w:hAnsi="Arial" w:cs="Arial"/>
                                <w:b/>
                                <w:color w:val="000000"/>
                                <w:sz w:val="24"/>
                              </w:rPr>
                              <w:t>SOCIÁLNÍ ASISTENCE Frýdek-Místek, Frýdlant nad Ostravicí, sociálně aktivizační služby pro rodiny s dětmi</w:t>
                            </w:r>
                          </w:p>
                        </w:txbxContent>
                      </wps:txbx>
                      <wps:bodyPr spcFirstLastPara="1" wrap="square" lIns="182875" tIns="228600" rIns="137150" bIns="2286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12700</wp:posOffset>
                </wp:positionV>
                <wp:extent cx="4462145" cy="147955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462145" cy="1479550"/>
                        </a:xfrm>
                        <a:prstGeom prst="rect"/>
                        <a:ln/>
                      </pic:spPr>
                    </pic:pic>
                  </a:graphicData>
                </a:graphic>
              </wp:anchor>
            </w:drawing>
          </mc:Fallback>
        </mc:AlternateContent>
      </w:r>
    </w:p>
    <w:p w:rsidR="00E47636" w:rsidRDefault="00E47636">
      <w:pPr>
        <w:pBdr>
          <w:top w:val="nil"/>
          <w:left w:val="nil"/>
          <w:bottom w:val="nil"/>
          <w:right w:val="nil"/>
          <w:between w:val="nil"/>
        </w:pBdr>
        <w:tabs>
          <w:tab w:val="left" w:pos="8550"/>
        </w:tabs>
        <w:jc w:val="center"/>
        <w:rPr>
          <w:rFonts w:ascii="Arial" w:eastAsia="Arial" w:hAnsi="Arial" w:cs="Arial"/>
          <w:color w:val="000000"/>
          <w:sz w:val="36"/>
          <w:szCs w:val="36"/>
        </w:rPr>
      </w:pPr>
    </w:p>
    <w:p w:rsidR="00E47636" w:rsidRDefault="00E47636">
      <w:pPr>
        <w:pBdr>
          <w:top w:val="nil"/>
          <w:left w:val="nil"/>
          <w:bottom w:val="nil"/>
          <w:right w:val="nil"/>
          <w:between w:val="nil"/>
        </w:pBdr>
        <w:jc w:val="center"/>
        <w:rPr>
          <w:rFonts w:ascii="Arial" w:eastAsia="Arial" w:hAnsi="Arial" w:cs="Arial"/>
          <w:color w:val="000000"/>
          <w:sz w:val="36"/>
          <w:szCs w:val="36"/>
        </w:rPr>
      </w:pPr>
    </w:p>
    <w:p w:rsidR="00E47636" w:rsidRDefault="00E47636">
      <w:pPr>
        <w:pBdr>
          <w:top w:val="nil"/>
          <w:left w:val="nil"/>
          <w:bottom w:val="nil"/>
          <w:right w:val="nil"/>
          <w:between w:val="nil"/>
        </w:pBdr>
        <w:jc w:val="both"/>
        <w:rPr>
          <w:rFonts w:ascii="Arial" w:eastAsia="Arial" w:hAnsi="Arial" w:cs="Arial"/>
          <w:color w:val="000000"/>
          <w:sz w:val="24"/>
          <w:szCs w:val="24"/>
        </w:rPr>
      </w:pPr>
    </w:p>
    <w:p w:rsidR="00E47636" w:rsidRDefault="00E47636">
      <w:pPr>
        <w:pBdr>
          <w:top w:val="nil"/>
          <w:left w:val="nil"/>
          <w:bottom w:val="nil"/>
          <w:right w:val="nil"/>
          <w:between w:val="nil"/>
        </w:pBdr>
        <w:jc w:val="both"/>
        <w:rPr>
          <w:rFonts w:ascii="Arial" w:eastAsia="Arial" w:hAnsi="Arial" w:cs="Arial"/>
          <w:color w:val="000000"/>
          <w:sz w:val="24"/>
          <w:szCs w:val="24"/>
        </w:rPr>
      </w:pPr>
    </w:p>
    <w:p w:rsidR="00E47636" w:rsidRDefault="00E47636">
      <w:pPr>
        <w:pBdr>
          <w:top w:val="nil"/>
          <w:left w:val="nil"/>
          <w:bottom w:val="nil"/>
          <w:right w:val="nil"/>
          <w:between w:val="nil"/>
        </w:pBdr>
        <w:jc w:val="both"/>
        <w:rPr>
          <w:rFonts w:ascii="Arial" w:eastAsia="Arial" w:hAnsi="Arial" w:cs="Arial"/>
          <w:color w:val="000000"/>
          <w:sz w:val="24"/>
          <w:szCs w:val="24"/>
        </w:rPr>
      </w:pPr>
    </w:p>
    <w:p w:rsidR="00E47636" w:rsidRDefault="00E47636">
      <w:pPr>
        <w:pBdr>
          <w:top w:val="nil"/>
          <w:left w:val="nil"/>
          <w:bottom w:val="nil"/>
          <w:right w:val="nil"/>
          <w:between w:val="nil"/>
        </w:pBdr>
        <w:jc w:val="both"/>
        <w:rPr>
          <w:rFonts w:ascii="Arial" w:eastAsia="Arial" w:hAnsi="Arial" w:cs="Arial"/>
          <w:color w:val="000000"/>
          <w:sz w:val="24"/>
          <w:szCs w:val="24"/>
        </w:rPr>
      </w:pPr>
    </w:p>
    <w:p w:rsidR="00E47636" w:rsidRDefault="00E47636">
      <w:pPr>
        <w:pBdr>
          <w:top w:val="nil"/>
          <w:left w:val="nil"/>
          <w:bottom w:val="nil"/>
          <w:right w:val="nil"/>
          <w:between w:val="nil"/>
        </w:pBdr>
        <w:jc w:val="both"/>
        <w:rPr>
          <w:rFonts w:ascii="Arial" w:eastAsia="Arial" w:hAnsi="Arial" w:cs="Arial"/>
          <w:color w:val="000000"/>
          <w:sz w:val="24"/>
          <w:szCs w:val="24"/>
        </w:rPr>
      </w:pPr>
    </w:p>
    <w:p w:rsidR="00E47636" w:rsidRDefault="00E47636">
      <w:pPr>
        <w:pBdr>
          <w:top w:val="nil"/>
          <w:left w:val="nil"/>
          <w:bottom w:val="nil"/>
          <w:right w:val="nil"/>
          <w:between w:val="nil"/>
        </w:pBdr>
        <w:jc w:val="both"/>
        <w:rPr>
          <w:rFonts w:ascii="Arial" w:eastAsia="Arial" w:hAnsi="Arial" w:cs="Arial"/>
          <w:color w:val="000000"/>
          <w:sz w:val="24"/>
          <w:szCs w:val="24"/>
        </w:rPr>
      </w:pPr>
    </w:p>
    <w:p w:rsidR="00E47636" w:rsidRDefault="00E47636">
      <w:pPr>
        <w:pBdr>
          <w:top w:val="nil"/>
          <w:left w:val="nil"/>
          <w:bottom w:val="nil"/>
          <w:right w:val="nil"/>
          <w:between w:val="nil"/>
        </w:pBdr>
        <w:jc w:val="both"/>
        <w:rPr>
          <w:rFonts w:ascii="Arial" w:eastAsia="Arial" w:hAnsi="Arial" w:cs="Arial"/>
          <w:color w:val="000000"/>
          <w:sz w:val="24"/>
          <w:szCs w:val="24"/>
        </w:rPr>
      </w:pPr>
    </w:p>
    <w:p w:rsidR="00E47636" w:rsidRDefault="004C0325">
      <w:pPr>
        <w:pBdr>
          <w:top w:val="nil"/>
          <w:left w:val="nil"/>
          <w:bottom w:val="nil"/>
          <w:right w:val="nil"/>
          <w:between w:val="nil"/>
        </w:pBdr>
        <w:jc w:val="both"/>
        <w:rPr>
          <w:rFonts w:ascii="Arial" w:eastAsia="Arial" w:hAnsi="Arial" w:cs="Arial"/>
          <w:color w:val="000000"/>
          <w:sz w:val="24"/>
          <w:szCs w:val="24"/>
        </w:rPr>
      </w:pPr>
      <w:r>
        <w:rPr>
          <w:noProof/>
        </w:rPr>
        <mc:AlternateContent>
          <mc:Choice Requires="wpg">
            <w:drawing>
              <wp:anchor distT="0" distB="0" distL="114300" distR="114300" simplePos="0" relativeHeight="251660288" behindDoc="0" locked="0" layoutInCell="1" hidden="0" allowOverlap="1">
                <wp:simplePos x="0" y="0"/>
                <wp:positionH relativeFrom="column">
                  <wp:posOffset>571500</wp:posOffset>
                </wp:positionH>
                <wp:positionV relativeFrom="paragraph">
                  <wp:posOffset>12700</wp:posOffset>
                </wp:positionV>
                <wp:extent cx="4462145" cy="1892300"/>
                <wp:effectExtent l="0" t="0" r="0" b="0"/>
                <wp:wrapSquare wrapText="bothSides" distT="0" distB="0" distL="114300" distR="114300"/>
                <wp:docPr id="1" name="Zaoblený obdélník 1"/>
                <wp:cNvGraphicFramePr/>
                <a:graphic xmlns:a="http://schemas.openxmlformats.org/drawingml/2006/main">
                  <a:graphicData uri="http://schemas.microsoft.com/office/word/2010/wordprocessingShape">
                    <wps:wsp>
                      <wps:cNvSpPr/>
                      <wps:spPr>
                        <a:xfrm>
                          <a:off x="3140328" y="2859250"/>
                          <a:ext cx="4411345" cy="1841500"/>
                        </a:xfrm>
                        <a:prstGeom prst="roundRect">
                          <a:avLst>
                            <a:gd name="adj" fmla="val 16667"/>
                          </a:avLst>
                        </a:prstGeom>
                        <a:solidFill>
                          <a:schemeClr val="lt1"/>
                        </a:solidFill>
                        <a:ln w="25400" cap="flat" cmpd="sng">
                          <a:solidFill>
                            <a:schemeClr val="accent1"/>
                          </a:solidFill>
                          <a:prstDash val="solid"/>
                          <a:round/>
                          <a:headEnd type="none" w="sm" len="sm"/>
                          <a:tailEnd type="none" w="sm" len="sm"/>
                        </a:ln>
                      </wps:spPr>
                      <wps:txbx>
                        <w:txbxContent>
                          <w:p w:rsidR="00E47636" w:rsidRDefault="004C0325">
                            <w:pPr>
                              <w:spacing w:after="200" w:line="360" w:lineRule="auto"/>
                              <w:jc w:val="center"/>
                              <w:textDirection w:val="btLr"/>
                            </w:pPr>
                            <w:r>
                              <w:rPr>
                                <w:rFonts w:ascii="Arial" w:eastAsia="Arial" w:hAnsi="Arial" w:cs="Arial"/>
                                <w:b/>
                                <w:color w:val="000000"/>
                                <w:sz w:val="38"/>
                              </w:rPr>
                              <w:t>Stížnosti na poskytování sociální služby</w:t>
                            </w:r>
                          </w:p>
                          <w:p w:rsidR="00E47636" w:rsidRDefault="004C0325">
                            <w:pPr>
                              <w:spacing w:after="200" w:line="360" w:lineRule="auto"/>
                              <w:jc w:val="center"/>
                              <w:textDirection w:val="btLr"/>
                            </w:pPr>
                            <w:r>
                              <w:rPr>
                                <w:rFonts w:ascii="Arial" w:eastAsia="Arial" w:hAnsi="Arial" w:cs="Arial"/>
                                <w:color w:val="000000"/>
                                <w:sz w:val="32"/>
                              </w:rPr>
                              <w:t xml:space="preserve">Metodický pokyn č. 7 </w:t>
                            </w:r>
                          </w:p>
                          <w:p w:rsidR="00E47636" w:rsidRDefault="004C0325">
                            <w:pPr>
                              <w:spacing w:after="200" w:line="360" w:lineRule="auto"/>
                              <w:textDirection w:val="btLr"/>
                            </w:pPr>
                            <w:r>
                              <w:rPr>
                                <w:rFonts w:ascii="Arial" w:eastAsia="Arial" w:hAnsi="Arial" w:cs="Arial"/>
                                <w:b/>
                                <w:color w:val="000000"/>
                                <w:sz w:val="22"/>
                              </w:rPr>
                              <w:t xml:space="preserve"> </w:t>
                            </w:r>
                          </w:p>
                          <w:p w:rsidR="00E47636" w:rsidRDefault="00E47636">
                            <w:pPr>
                              <w:spacing w:after="200" w:line="360" w:lineRule="auto"/>
                              <w:jc w:val="center"/>
                              <w:textDirection w:val="btLr"/>
                            </w:pPr>
                          </w:p>
                        </w:txbxContent>
                      </wps:txbx>
                      <wps:bodyPr spcFirstLastPara="1" wrap="square" lIns="182875" tIns="228600" rIns="137150" bIns="2286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12700</wp:posOffset>
                </wp:positionV>
                <wp:extent cx="4462145" cy="18923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462145" cy="1892300"/>
                        </a:xfrm>
                        <a:prstGeom prst="rect"/>
                        <a:ln/>
                      </pic:spPr>
                    </pic:pic>
                  </a:graphicData>
                </a:graphic>
              </wp:anchor>
            </w:drawing>
          </mc:Fallback>
        </mc:AlternateContent>
      </w: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sz w:val="22"/>
          <w:szCs w:val="22"/>
        </w:rPr>
      </w:pPr>
    </w:p>
    <w:p w:rsidR="00E47636" w:rsidRDefault="00E47636">
      <w:pPr>
        <w:pBdr>
          <w:top w:val="nil"/>
          <w:left w:val="nil"/>
          <w:bottom w:val="nil"/>
          <w:right w:val="nil"/>
          <w:between w:val="nil"/>
        </w:pBdr>
        <w:spacing w:before="120" w:after="120"/>
        <w:jc w:val="both"/>
        <w:rPr>
          <w:rFonts w:ascii="Arial" w:eastAsia="Arial" w:hAnsi="Arial" w:cs="Arial"/>
          <w:sz w:val="22"/>
          <w:szCs w:val="22"/>
        </w:rPr>
      </w:pPr>
    </w:p>
    <w:p w:rsidR="00E47636" w:rsidRDefault="00E47636">
      <w:pPr>
        <w:pBdr>
          <w:top w:val="nil"/>
          <w:left w:val="nil"/>
          <w:bottom w:val="nil"/>
          <w:right w:val="nil"/>
          <w:between w:val="nil"/>
        </w:pBdr>
        <w:spacing w:before="120" w:after="120"/>
        <w:jc w:val="both"/>
        <w:rPr>
          <w:rFonts w:ascii="Arial" w:eastAsia="Arial" w:hAnsi="Arial" w:cs="Arial"/>
          <w:sz w:val="22"/>
          <w:szCs w:val="22"/>
        </w:rPr>
      </w:pPr>
    </w:p>
    <w:p w:rsidR="00E47636" w:rsidRDefault="004C0325">
      <w:pPr>
        <w:pBdr>
          <w:top w:val="nil"/>
          <w:left w:val="nil"/>
          <w:bottom w:val="nil"/>
          <w:right w:val="nil"/>
          <w:between w:val="nil"/>
        </w:pBdr>
        <w:spacing w:before="120" w:after="120"/>
        <w:jc w:val="both"/>
        <w:rPr>
          <w:rFonts w:ascii="Arial" w:eastAsia="Arial" w:hAnsi="Arial" w:cs="Arial"/>
          <w:color w:val="000000"/>
          <w:sz w:val="22"/>
          <w:szCs w:val="22"/>
        </w:rPr>
      </w:pPr>
      <w:r>
        <w:rPr>
          <w:noProof/>
        </w:rPr>
        <mc:AlternateContent>
          <mc:Choice Requires="wpg">
            <w:drawing>
              <wp:anchor distT="0" distB="0" distL="114300" distR="114300" simplePos="0" relativeHeight="251661312" behindDoc="0" locked="0" layoutInCell="1" hidden="0" allowOverlap="1">
                <wp:simplePos x="0" y="0"/>
                <wp:positionH relativeFrom="column">
                  <wp:posOffset>-507999</wp:posOffset>
                </wp:positionH>
                <wp:positionV relativeFrom="paragraph">
                  <wp:posOffset>101600</wp:posOffset>
                </wp:positionV>
                <wp:extent cx="6753225" cy="3361567"/>
                <wp:effectExtent l="0" t="0" r="0" b="0"/>
                <wp:wrapSquare wrapText="bothSides" distT="0" distB="0" distL="114300" distR="114300"/>
                <wp:docPr id="3" name="Zaoblený obdélník 3"/>
                <wp:cNvGraphicFramePr/>
                <a:graphic xmlns:a="http://schemas.openxmlformats.org/drawingml/2006/main">
                  <a:graphicData uri="http://schemas.microsoft.com/office/word/2010/wordprocessingShape">
                    <wps:wsp>
                      <wps:cNvSpPr/>
                      <wps:spPr>
                        <a:xfrm>
                          <a:off x="2063685" y="2169640"/>
                          <a:ext cx="6564630" cy="3220720"/>
                        </a:xfrm>
                        <a:prstGeom prst="roundRect">
                          <a:avLst>
                            <a:gd name="adj" fmla="val 16667"/>
                          </a:avLst>
                        </a:prstGeom>
                        <a:solidFill>
                          <a:srgbClr val="FFFFFF"/>
                        </a:solidFill>
                        <a:ln w="38100" cap="flat" cmpd="sng">
                          <a:solidFill>
                            <a:srgbClr val="00B0F0"/>
                          </a:solidFill>
                          <a:prstDash val="solid"/>
                          <a:round/>
                          <a:headEnd type="none" w="sm" len="sm"/>
                          <a:tailEnd type="none" w="sm" len="sm"/>
                        </a:ln>
                        <a:effectLst>
                          <a:outerShdw dist="35921" dir="2700000" algn="ctr" rotWithShape="0">
                            <a:srgbClr val="808080">
                              <a:alpha val="48235"/>
                            </a:srgbClr>
                          </a:outerShdw>
                        </a:effectLst>
                      </wps:spPr>
                      <wps:txbx>
                        <w:txbxContent>
                          <w:p w:rsidR="00E47636" w:rsidRDefault="004C0325">
                            <w:pPr>
                              <w:spacing w:after="200" w:line="360" w:lineRule="auto"/>
                              <w:textDirection w:val="btLr"/>
                            </w:pPr>
                            <w:r>
                              <w:rPr>
                                <w:rFonts w:ascii="Arial" w:eastAsia="Arial" w:hAnsi="Arial" w:cs="Arial"/>
                                <w:b/>
                                <w:color w:val="000000"/>
                                <w:sz w:val="22"/>
                              </w:rPr>
                              <w:t xml:space="preserve">Účinnost: </w:t>
                            </w:r>
                            <w:proofErr w:type="gramStart"/>
                            <w:r>
                              <w:rPr>
                                <w:rFonts w:ascii="Arial" w:eastAsia="Arial" w:hAnsi="Arial" w:cs="Arial"/>
                                <w:b/>
                                <w:color w:val="000000"/>
                                <w:sz w:val="22"/>
                              </w:rPr>
                              <w:t>15.3. 2O25</w:t>
                            </w:r>
                            <w:proofErr w:type="gramEnd"/>
                            <w:r>
                              <w:rPr>
                                <w:rFonts w:ascii="Arial" w:eastAsia="Arial" w:hAnsi="Arial" w:cs="Arial"/>
                                <w:b/>
                                <w:color w:val="000000"/>
                                <w:sz w:val="22"/>
                              </w:rPr>
                              <w:t xml:space="preserve"> </w:t>
                            </w:r>
                          </w:p>
                          <w:p w:rsidR="00E47636" w:rsidRDefault="004C0325">
                            <w:pPr>
                              <w:spacing w:after="200" w:line="360" w:lineRule="auto"/>
                              <w:textDirection w:val="btLr"/>
                            </w:pPr>
                            <w:r>
                              <w:rPr>
                                <w:rFonts w:ascii="Arial" w:eastAsia="Arial" w:hAnsi="Arial" w:cs="Arial"/>
                                <w:b/>
                                <w:color w:val="000000"/>
                                <w:sz w:val="22"/>
                              </w:rPr>
                              <w:t xml:space="preserve">zpracoval: Mgr. Bc. Zuzana Hartmannová a pracovní tým </w:t>
                            </w:r>
                          </w:p>
                          <w:p w:rsidR="00E47636" w:rsidRDefault="004C0325">
                            <w:pPr>
                              <w:spacing w:after="200" w:line="360" w:lineRule="auto"/>
                              <w:textDirection w:val="btLr"/>
                            </w:pPr>
                            <w:r>
                              <w:rPr>
                                <w:rFonts w:ascii="Arial" w:eastAsia="Arial" w:hAnsi="Arial" w:cs="Arial"/>
                                <w:b/>
                                <w:color w:val="000000"/>
                                <w:sz w:val="22"/>
                              </w:rPr>
                              <w:t>revize: březen 2025, listopad 2020, září 2016, srpen 2015, srpen 2014, květen 2013</w:t>
                            </w:r>
                          </w:p>
                          <w:p w:rsidR="00E47636" w:rsidRDefault="004C0325">
                            <w:pPr>
                              <w:spacing w:after="200" w:line="360" w:lineRule="auto"/>
                              <w:textDirection w:val="btLr"/>
                            </w:pPr>
                            <w:r>
                              <w:rPr>
                                <w:rFonts w:ascii="Arial" w:eastAsia="Arial" w:hAnsi="Arial" w:cs="Arial"/>
                                <w:b/>
                                <w:color w:val="000000"/>
                                <w:sz w:val="22"/>
                              </w:rPr>
                              <w:t>schválil: Mgr. Bc. Zuzana Hartmannová</w:t>
                            </w:r>
                          </w:p>
                          <w:p w:rsidR="00E47636" w:rsidRDefault="004C0325">
                            <w:pPr>
                              <w:spacing w:after="200" w:line="360" w:lineRule="auto"/>
                              <w:textDirection w:val="btLr"/>
                            </w:pPr>
                            <w:r>
                              <w:rPr>
                                <w:rFonts w:ascii="Arial" w:eastAsia="Arial" w:hAnsi="Arial" w:cs="Arial"/>
                                <w:b/>
                                <w:color w:val="000000"/>
                                <w:sz w:val="22"/>
                              </w:rPr>
                              <w:t>závazné pro: všechny pracovníky sociálně aktivizační služby pro rodiny s dětmi</w:t>
                            </w:r>
                          </w:p>
                        </w:txbxContent>
                      </wps:txbx>
                      <wps:bodyPr spcFirstLastPara="1" wrap="square" lIns="182875" tIns="228600" rIns="137150" bIns="2286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-507999</wp:posOffset>
                </wp:positionH>
                <wp:positionV relativeFrom="paragraph">
                  <wp:posOffset>101600</wp:posOffset>
                </wp:positionV>
                <wp:extent cx="6753225" cy="3361567"/>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753225" cy="3361567"/>
                        </a:xfrm>
                        <a:prstGeom prst="rect"/>
                        <a:ln/>
                      </pic:spPr>
                    </pic:pic>
                  </a:graphicData>
                </a:graphic>
              </wp:anchor>
            </w:drawing>
          </mc:Fallback>
        </mc:AlternateContent>
      </w: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4C0325">
      <w:pPr>
        <w:keepNext/>
        <w:keepLines/>
        <w:pBdr>
          <w:top w:val="nil"/>
          <w:left w:val="nil"/>
          <w:bottom w:val="nil"/>
          <w:right w:val="nil"/>
          <w:between w:val="nil"/>
        </w:pBdr>
        <w:spacing w:before="480"/>
        <w:rPr>
          <w:rFonts w:ascii="Arial" w:eastAsia="Arial" w:hAnsi="Arial" w:cs="Arial"/>
          <w:b/>
          <w:color w:val="365F91"/>
          <w:sz w:val="28"/>
          <w:szCs w:val="28"/>
        </w:rPr>
      </w:pPr>
      <w:r>
        <w:rPr>
          <w:rFonts w:ascii="Arial" w:eastAsia="Arial" w:hAnsi="Arial" w:cs="Arial"/>
          <w:b/>
          <w:color w:val="365F91"/>
          <w:sz w:val="28"/>
          <w:szCs w:val="28"/>
        </w:rPr>
        <w:lastRenderedPageBreak/>
        <w:t>Obsah</w:t>
      </w:r>
      <w:r>
        <w:rPr>
          <w:rFonts w:ascii="Arial" w:eastAsia="Arial" w:hAnsi="Arial" w:cs="Arial"/>
          <w:b/>
          <w:color w:val="365F91"/>
          <w:sz w:val="28"/>
          <w:szCs w:val="28"/>
        </w:rPr>
        <w:br/>
      </w:r>
    </w:p>
    <w:sdt>
      <w:sdtPr>
        <w:id w:val="1663035566"/>
        <w:docPartObj>
          <w:docPartGallery w:val="Table of Contents"/>
          <w:docPartUnique/>
        </w:docPartObj>
      </w:sdtPr>
      <w:sdtEndPr/>
      <w:sdtContent>
        <w:p w:rsidR="00E47636" w:rsidRDefault="004C0325">
          <w:pPr>
            <w:pBdr>
              <w:top w:val="nil"/>
              <w:left w:val="nil"/>
              <w:bottom w:val="nil"/>
              <w:right w:val="nil"/>
              <w:between w:val="nil"/>
            </w:pBdr>
            <w:tabs>
              <w:tab w:val="right" w:pos="9062"/>
            </w:tabs>
            <w:spacing w:after="280"/>
            <w:jc w:val="both"/>
            <w:rPr>
              <w:rFonts w:ascii="Arial" w:eastAsia="Arial" w:hAnsi="Arial" w:cs="Arial"/>
              <w:sz w:val="22"/>
              <w:szCs w:val="22"/>
            </w:rPr>
          </w:pPr>
          <w:r>
            <w:fldChar w:fldCharType="begin"/>
          </w:r>
          <w:r>
            <w:instrText xml:space="preserve"> TOC \h \u \z \t "Heading 1,1,Heading 2,2,Heading 3,3,Heading 4,4,Heading 5,5,Heading 6,6,"</w:instrText>
          </w:r>
          <w:r>
            <w:fldChar w:fldCharType="separate"/>
          </w:r>
          <w:hyperlink w:anchor="_1fob9te">
            <w:r>
              <w:rPr>
                <w:rFonts w:ascii="Arial" w:eastAsia="Arial" w:hAnsi="Arial" w:cs="Arial"/>
                <w:sz w:val="22"/>
                <w:szCs w:val="22"/>
              </w:rPr>
              <w:t>1 Definice základních pojmů</w:t>
            </w:r>
            <w:r>
              <w:rPr>
                <w:rFonts w:ascii="Arial" w:eastAsia="Arial" w:hAnsi="Arial" w:cs="Arial"/>
                <w:sz w:val="22"/>
                <w:szCs w:val="22"/>
              </w:rPr>
              <w:tab/>
              <w:t>3</w:t>
            </w:r>
          </w:hyperlink>
        </w:p>
        <w:p w:rsidR="00E47636" w:rsidRDefault="004C0325">
          <w:pPr>
            <w:pBdr>
              <w:top w:val="nil"/>
              <w:left w:val="nil"/>
              <w:bottom w:val="nil"/>
              <w:right w:val="nil"/>
              <w:between w:val="nil"/>
            </w:pBdr>
            <w:tabs>
              <w:tab w:val="right" w:pos="9062"/>
            </w:tabs>
            <w:spacing w:after="280"/>
            <w:jc w:val="both"/>
            <w:rPr>
              <w:rFonts w:ascii="Arial" w:eastAsia="Arial" w:hAnsi="Arial" w:cs="Arial"/>
              <w:sz w:val="22"/>
              <w:szCs w:val="22"/>
            </w:rPr>
          </w:pPr>
          <w:hyperlink w:anchor="_3znysh7">
            <w:r>
              <w:rPr>
                <w:rFonts w:ascii="Arial" w:eastAsia="Arial" w:hAnsi="Arial" w:cs="Arial"/>
                <w:sz w:val="22"/>
                <w:szCs w:val="22"/>
              </w:rPr>
              <w:t>2 Způsob přijímání stížností</w:t>
            </w:r>
            <w:r>
              <w:rPr>
                <w:rFonts w:ascii="Arial" w:eastAsia="Arial" w:hAnsi="Arial" w:cs="Arial"/>
                <w:sz w:val="22"/>
                <w:szCs w:val="22"/>
              </w:rPr>
              <w:tab/>
              <w:t>3</w:t>
            </w:r>
          </w:hyperlink>
        </w:p>
        <w:p w:rsidR="00E47636" w:rsidRDefault="004C0325">
          <w:pPr>
            <w:pBdr>
              <w:top w:val="nil"/>
              <w:left w:val="nil"/>
              <w:bottom w:val="nil"/>
              <w:right w:val="nil"/>
              <w:between w:val="nil"/>
            </w:pBdr>
            <w:tabs>
              <w:tab w:val="right" w:pos="9062"/>
            </w:tabs>
            <w:spacing w:after="280"/>
            <w:jc w:val="both"/>
            <w:rPr>
              <w:rFonts w:ascii="Arial" w:eastAsia="Arial" w:hAnsi="Arial" w:cs="Arial"/>
              <w:sz w:val="22"/>
              <w:szCs w:val="22"/>
            </w:rPr>
          </w:pPr>
          <w:hyperlink w:anchor="_2et92p0">
            <w:r>
              <w:rPr>
                <w:rFonts w:ascii="Arial" w:eastAsia="Arial" w:hAnsi="Arial" w:cs="Arial"/>
                <w:sz w:val="22"/>
                <w:szCs w:val="22"/>
              </w:rPr>
              <w:t xml:space="preserve">3 </w:t>
            </w:r>
          </w:hyperlink>
          <w:r>
            <w:t xml:space="preserve"> </w:t>
          </w:r>
          <w:r>
            <w:rPr>
              <w:rFonts w:ascii="Arial" w:eastAsia="Arial" w:hAnsi="Arial" w:cs="Arial"/>
              <w:sz w:val="22"/>
              <w:szCs w:val="22"/>
            </w:rPr>
            <w:t xml:space="preserve">Způsob a lhůta řešení stížností </w:t>
          </w:r>
          <w:hyperlink w:anchor="_2et92p0">
            <w:r>
              <w:rPr>
                <w:rFonts w:ascii="Arial" w:eastAsia="Arial" w:hAnsi="Arial" w:cs="Arial"/>
                <w:sz w:val="22"/>
                <w:szCs w:val="22"/>
              </w:rPr>
              <w:tab/>
              <w:t>4</w:t>
            </w:r>
          </w:hyperlink>
        </w:p>
        <w:p w:rsidR="00E47636" w:rsidRDefault="004C0325">
          <w:pPr>
            <w:pBdr>
              <w:top w:val="nil"/>
              <w:left w:val="nil"/>
              <w:bottom w:val="nil"/>
              <w:right w:val="nil"/>
              <w:between w:val="nil"/>
            </w:pBdr>
            <w:tabs>
              <w:tab w:val="right" w:pos="9062"/>
            </w:tabs>
            <w:spacing w:after="280"/>
            <w:jc w:val="both"/>
            <w:rPr>
              <w:rFonts w:ascii="Arial" w:eastAsia="Arial" w:hAnsi="Arial" w:cs="Arial"/>
              <w:sz w:val="22"/>
              <w:szCs w:val="22"/>
            </w:rPr>
          </w:pPr>
          <w:hyperlink w:anchor="_3dy6vkm">
            <w:r>
              <w:rPr>
                <w:rFonts w:ascii="Arial" w:eastAsia="Arial" w:hAnsi="Arial" w:cs="Arial"/>
                <w:sz w:val="22"/>
                <w:szCs w:val="22"/>
              </w:rPr>
              <w:t xml:space="preserve">4 </w:t>
            </w:r>
          </w:hyperlink>
          <w:r>
            <w:t xml:space="preserve"> </w:t>
          </w:r>
          <w:r>
            <w:rPr>
              <w:rFonts w:ascii="Arial" w:eastAsia="Arial" w:hAnsi="Arial" w:cs="Arial"/>
              <w:sz w:val="22"/>
              <w:szCs w:val="22"/>
            </w:rPr>
            <w:t xml:space="preserve">Evidence stížností </w:t>
          </w:r>
          <w:hyperlink w:anchor="_3dy6vkm">
            <w:r>
              <w:rPr>
                <w:rFonts w:ascii="Arial" w:eastAsia="Arial" w:hAnsi="Arial" w:cs="Arial"/>
                <w:sz w:val="22"/>
                <w:szCs w:val="22"/>
              </w:rPr>
              <w:tab/>
              <w:t>5</w:t>
            </w:r>
          </w:hyperlink>
        </w:p>
        <w:p w:rsidR="00E47636" w:rsidRDefault="004C0325">
          <w:pPr>
            <w:pBdr>
              <w:top w:val="nil"/>
              <w:left w:val="nil"/>
              <w:bottom w:val="nil"/>
              <w:right w:val="nil"/>
              <w:between w:val="nil"/>
            </w:pBdr>
            <w:tabs>
              <w:tab w:val="right" w:pos="9062"/>
            </w:tabs>
            <w:spacing w:after="280"/>
            <w:jc w:val="both"/>
            <w:rPr>
              <w:rFonts w:ascii="Arial" w:eastAsia="Arial" w:hAnsi="Arial" w:cs="Arial"/>
              <w:sz w:val="22"/>
              <w:szCs w:val="22"/>
            </w:rPr>
          </w:pPr>
          <w:hyperlink w:anchor="_tyjcwt">
            <w:r>
              <w:rPr>
                <w:rFonts w:ascii="Arial" w:eastAsia="Arial" w:hAnsi="Arial" w:cs="Arial"/>
                <w:sz w:val="22"/>
                <w:szCs w:val="22"/>
              </w:rPr>
              <w:t>5 Postupy pro odvolání při nespokojenosti stěžovatele s vyřešením stížností</w:t>
            </w:r>
          </w:hyperlink>
          <w:r>
            <w:rPr>
              <w:rFonts w:ascii="Arial" w:eastAsia="Arial" w:hAnsi="Arial" w:cs="Arial"/>
              <w:sz w:val="22"/>
              <w:szCs w:val="22"/>
            </w:rPr>
            <w:t xml:space="preserve">                          5</w:t>
          </w:r>
        </w:p>
        <w:p w:rsidR="00E47636" w:rsidRDefault="004C0325">
          <w:pPr>
            <w:pBdr>
              <w:top w:val="nil"/>
              <w:left w:val="nil"/>
              <w:bottom w:val="nil"/>
              <w:right w:val="nil"/>
              <w:between w:val="nil"/>
            </w:pBdr>
            <w:tabs>
              <w:tab w:val="right" w:pos="9062"/>
            </w:tabs>
            <w:spacing w:after="280"/>
            <w:jc w:val="both"/>
            <w:rPr>
              <w:rFonts w:ascii="Arial" w:eastAsia="Arial" w:hAnsi="Arial" w:cs="Arial"/>
              <w:sz w:val="22"/>
              <w:szCs w:val="22"/>
            </w:rPr>
          </w:pPr>
          <w:hyperlink w:anchor="_1t3h5sf">
            <w:r>
              <w:rPr>
                <w:rFonts w:ascii="Arial" w:eastAsia="Arial" w:hAnsi="Arial" w:cs="Arial"/>
                <w:sz w:val="22"/>
                <w:szCs w:val="22"/>
              </w:rPr>
              <w:t xml:space="preserve">6 </w:t>
            </w:r>
          </w:hyperlink>
          <w:r>
            <w:t xml:space="preserve"> </w:t>
          </w:r>
          <w:r>
            <w:rPr>
              <w:rFonts w:ascii="Arial" w:eastAsia="Arial" w:hAnsi="Arial" w:cs="Arial"/>
              <w:sz w:val="22"/>
              <w:szCs w:val="22"/>
            </w:rPr>
            <w:t xml:space="preserve">Seznámení klientů, pracovníků s podáním a řešením stížností </w:t>
          </w:r>
          <w:hyperlink w:anchor="_1t3h5sf">
            <w:r>
              <w:rPr>
                <w:rFonts w:ascii="Arial" w:eastAsia="Arial" w:hAnsi="Arial" w:cs="Arial"/>
                <w:sz w:val="22"/>
                <w:szCs w:val="22"/>
              </w:rPr>
              <w:tab/>
              <w:t>6</w:t>
            </w:r>
          </w:hyperlink>
          <w:r>
            <w:fldChar w:fldCharType="end"/>
          </w:r>
        </w:p>
      </w:sdtContent>
    </w:sdt>
    <w:p w:rsidR="00E47636" w:rsidRDefault="00E47636">
      <w:pPr>
        <w:pBdr>
          <w:top w:val="nil"/>
          <w:left w:val="nil"/>
          <w:bottom w:val="nil"/>
          <w:right w:val="nil"/>
          <w:between w:val="nil"/>
        </w:pBdr>
        <w:spacing w:after="280"/>
        <w:jc w:val="both"/>
        <w:rPr>
          <w:rFonts w:ascii="Arial" w:eastAsia="Arial" w:hAnsi="Arial" w:cs="Arial"/>
          <w:color w:val="000000"/>
          <w:sz w:val="22"/>
          <w:szCs w:val="22"/>
        </w:rPr>
      </w:pPr>
      <w:bookmarkStart w:id="1" w:name="_30j0zll" w:colFirst="0" w:colLast="0"/>
      <w:bookmarkEnd w:id="1"/>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sz w:val="22"/>
          <w:szCs w:val="22"/>
        </w:rPr>
      </w:pPr>
    </w:p>
    <w:p w:rsidR="00E47636" w:rsidRDefault="00E47636">
      <w:pPr>
        <w:pBdr>
          <w:top w:val="nil"/>
          <w:left w:val="nil"/>
          <w:bottom w:val="nil"/>
          <w:right w:val="nil"/>
          <w:between w:val="nil"/>
        </w:pBdr>
        <w:spacing w:before="120" w:after="120"/>
        <w:jc w:val="both"/>
        <w:rPr>
          <w:rFonts w:ascii="Arial" w:eastAsia="Arial" w:hAnsi="Arial" w:cs="Arial"/>
          <w:sz w:val="22"/>
          <w:szCs w:val="22"/>
        </w:rPr>
      </w:pPr>
    </w:p>
    <w:p w:rsidR="00E47636" w:rsidRDefault="00E47636">
      <w:pPr>
        <w:pBdr>
          <w:top w:val="nil"/>
          <w:left w:val="nil"/>
          <w:bottom w:val="nil"/>
          <w:right w:val="nil"/>
          <w:between w:val="nil"/>
        </w:pBdr>
        <w:spacing w:before="120" w:after="120"/>
        <w:jc w:val="both"/>
        <w:rPr>
          <w:rFonts w:ascii="Arial" w:eastAsia="Arial" w:hAnsi="Arial" w:cs="Arial"/>
          <w:sz w:val="22"/>
          <w:szCs w:val="22"/>
        </w:rPr>
      </w:pPr>
    </w:p>
    <w:p w:rsidR="00E47636" w:rsidRDefault="00E47636">
      <w:pPr>
        <w:pBdr>
          <w:top w:val="nil"/>
          <w:left w:val="nil"/>
          <w:bottom w:val="nil"/>
          <w:right w:val="nil"/>
          <w:between w:val="nil"/>
        </w:pBdr>
        <w:spacing w:before="120" w:after="120"/>
        <w:jc w:val="both"/>
        <w:rPr>
          <w:rFonts w:ascii="Arial" w:eastAsia="Arial" w:hAnsi="Arial" w:cs="Arial"/>
          <w:sz w:val="22"/>
          <w:szCs w:val="22"/>
        </w:rPr>
      </w:pPr>
    </w:p>
    <w:p w:rsidR="00E47636" w:rsidRDefault="00E47636">
      <w:pPr>
        <w:pBdr>
          <w:top w:val="nil"/>
          <w:left w:val="nil"/>
          <w:bottom w:val="nil"/>
          <w:right w:val="nil"/>
          <w:between w:val="nil"/>
        </w:pBdr>
        <w:spacing w:before="120" w:after="120"/>
        <w:jc w:val="both"/>
        <w:rPr>
          <w:rFonts w:ascii="Arial" w:eastAsia="Arial" w:hAnsi="Arial" w:cs="Arial"/>
          <w:sz w:val="22"/>
          <w:szCs w:val="22"/>
        </w:rPr>
      </w:pPr>
    </w:p>
    <w:p w:rsidR="00E47636" w:rsidRDefault="00E47636">
      <w:pPr>
        <w:pBdr>
          <w:top w:val="nil"/>
          <w:left w:val="nil"/>
          <w:bottom w:val="nil"/>
          <w:right w:val="nil"/>
          <w:between w:val="nil"/>
        </w:pBdr>
        <w:spacing w:before="120" w:after="120"/>
        <w:jc w:val="both"/>
        <w:rPr>
          <w:rFonts w:ascii="Arial" w:eastAsia="Arial" w:hAnsi="Arial" w:cs="Arial"/>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spacing w:before="120" w:after="120"/>
        <w:jc w:val="both"/>
        <w:rPr>
          <w:rFonts w:ascii="Arial" w:eastAsia="Arial" w:hAnsi="Arial" w:cs="Arial"/>
          <w:color w:val="000000"/>
          <w:sz w:val="22"/>
          <w:szCs w:val="22"/>
        </w:rPr>
      </w:pPr>
    </w:p>
    <w:p w:rsidR="00E47636" w:rsidRDefault="00E47636">
      <w:pPr>
        <w:pBdr>
          <w:top w:val="nil"/>
          <w:left w:val="nil"/>
          <w:bottom w:val="nil"/>
          <w:right w:val="nil"/>
          <w:between w:val="nil"/>
        </w:pBdr>
        <w:rPr>
          <w:rFonts w:ascii="Arial" w:eastAsia="Arial" w:hAnsi="Arial" w:cs="Arial"/>
          <w:color w:val="000000"/>
          <w:sz w:val="22"/>
          <w:szCs w:val="22"/>
        </w:rPr>
      </w:pPr>
      <w:bookmarkStart w:id="2" w:name="_1fob9te" w:colFirst="0" w:colLast="0"/>
      <w:bookmarkEnd w:id="2"/>
    </w:p>
    <w:p w:rsidR="00E47636" w:rsidRDefault="004C0325">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b/>
          <w:color w:val="000000"/>
          <w:sz w:val="28"/>
          <w:szCs w:val="28"/>
        </w:rPr>
        <w:lastRenderedPageBreak/>
        <w:t>1 Definice základních pojmů</w:t>
      </w:r>
    </w:p>
    <w:p w:rsidR="00E47636" w:rsidRDefault="004C0325">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Stížnost</w:t>
      </w:r>
      <w:r>
        <w:rPr>
          <w:rFonts w:ascii="Arial" w:eastAsia="Arial" w:hAnsi="Arial" w:cs="Arial"/>
          <w:color w:val="000000"/>
          <w:sz w:val="22"/>
          <w:szCs w:val="22"/>
        </w:rPr>
        <w:t xml:space="preserve"> – vyjádřená nespokojenost s kvalitou nebo způsobem poskytované služby. Pracovníky je stížnost chápána jako výkon práva klienta služby a považují ji za příležitost ke zvýšení kvality poskytovaných s</w:t>
      </w:r>
      <w:r>
        <w:rPr>
          <w:rFonts w:ascii="Arial" w:eastAsia="Arial" w:hAnsi="Arial" w:cs="Arial"/>
          <w:sz w:val="22"/>
          <w:szCs w:val="22"/>
        </w:rPr>
        <w:t xml:space="preserve">lužeb. Stížnost není na újmu ani stěžovateli, ani osobě či instituci, která stížnost v zájmu klienta podala. </w:t>
      </w:r>
    </w:p>
    <w:p w:rsidR="00E47636" w:rsidRDefault="004C0325">
      <w:pPr>
        <w:spacing w:before="120" w:after="120"/>
        <w:jc w:val="both"/>
        <w:rPr>
          <w:rFonts w:ascii="Arial" w:eastAsia="Arial" w:hAnsi="Arial" w:cs="Arial"/>
          <w:sz w:val="22"/>
          <w:szCs w:val="22"/>
        </w:rPr>
      </w:pPr>
      <w:bookmarkStart w:id="3" w:name="_3znysh7" w:colFirst="0" w:colLast="0"/>
      <w:bookmarkEnd w:id="3"/>
      <w:r>
        <w:rPr>
          <w:rFonts w:ascii="Arial" w:eastAsia="Arial" w:hAnsi="Arial" w:cs="Arial"/>
          <w:b/>
          <w:sz w:val="22"/>
          <w:szCs w:val="22"/>
        </w:rPr>
        <w:t xml:space="preserve">Podnět </w:t>
      </w:r>
      <w:r>
        <w:rPr>
          <w:rFonts w:ascii="Arial" w:eastAsia="Arial" w:hAnsi="Arial" w:cs="Arial"/>
          <w:sz w:val="22"/>
          <w:szCs w:val="22"/>
        </w:rPr>
        <w:t xml:space="preserve">– doporučení ke zlepšení kvality služby (co by bylo třeba zlepšit a jak). Přijaté podněty služba eviduje a přijímá k nim dle jejich povahy </w:t>
      </w:r>
      <w:r>
        <w:rPr>
          <w:rFonts w:ascii="Arial" w:eastAsia="Arial" w:hAnsi="Arial" w:cs="Arial"/>
          <w:sz w:val="22"/>
          <w:szCs w:val="22"/>
        </w:rPr>
        <w:t xml:space="preserve">opatření. Jednou ročně jsou vyhodnocovány společně s hodnocením stížností v souladu s VS 15 Zvyšování kvality sociální služby. </w:t>
      </w:r>
    </w:p>
    <w:p w:rsidR="00E47636" w:rsidRDefault="004C0325">
      <w:pPr>
        <w:keepNext/>
        <w:pBdr>
          <w:top w:val="nil"/>
          <w:left w:val="nil"/>
          <w:bottom w:val="nil"/>
          <w:right w:val="nil"/>
          <w:between w:val="nil"/>
        </w:pBdr>
        <w:spacing w:before="240" w:after="60"/>
        <w:rPr>
          <w:rFonts w:ascii="Arial" w:eastAsia="Arial" w:hAnsi="Arial" w:cs="Arial"/>
          <w:b/>
          <w:color w:val="000000"/>
          <w:sz w:val="28"/>
          <w:szCs w:val="28"/>
        </w:rPr>
      </w:pPr>
      <w:r>
        <w:rPr>
          <w:rFonts w:ascii="Arial" w:eastAsia="Arial" w:hAnsi="Arial" w:cs="Arial"/>
          <w:b/>
          <w:color w:val="000000"/>
          <w:sz w:val="28"/>
          <w:szCs w:val="28"/>
        </w:rPr>
        <w:t>2 Způsob přijímání stížností</w:t>
      </w:r>
    </w:p>
    <w:p w:rsidR="00E47636" w:rsidRDefault="00E47636">
      <w:pPr>
        <w:jc w:val="both"/>
        <w:rPr>
          <w:rFonts w:ascii="Arial" w:eastAsia="Arial" w:hAnsi="Arial" w:cs="Arial"/>
          <w:b/>
          <w:sz w:val="22"/>
          <w:szCs w:val="22"/>
        </w:rPr>
      </w:pPr>
    </w:p>
    <w:p w:rsidR="00E47636" w:rsidRDefault="004C0325">
      <w:pPr>
        <w:jc w:val="both"/>
        <w:rPr>
          <w:rFonts w:ascii="Arial" w:eastAsia="Arial" w:hAnsi="Arial" w:cs="Arial"/>
          <w:b/>
          <w:sz w:val="22"/>
          <w:szCs w:val="22"/>
        </w:rPr>
      </w:pPr>
      <w:r>
        <w:rPr>
          <w:rFonts w:ascii="Arial" w:eastAsia="Arial" w:hAnsi="Arial" w:cs="Arial"/>
          <w:b/>
          <w:sz w:val="22"/>
          <w:szCs w:val="22"/>
        </w:rPr>
        <w:t>Kdo si může podat stížnost:</w:t>
      </w:r>
    </w:p>
    <w:p w:rsidR="00E47636" w:rsidRDefault="004C0325">
      <w:pPr>
        <w:numPr>
          <w:ilvl w:val="0"/>
          <w:numId w:val="1"/>
        </w:numPr>
        <w:jc w:val="both"/>
        <w:rPr>
          <w:rFonts w:ascii="Arial" w:eastAsia="Arial" w:hAnsi="Arial" w:cs="Arial"/>
          <w:sz w:val="22"/>
          <w:szCs w:val="22"/>
        </w:rPr>
      </w:pPr>
      <w:r>
        <w:rPr>
          <w:rFonts w:ascii="Arial" w:eastAsia="Arial" w:hAnsi="Arial" w:cs="Arial"/>
          <w:sz w:val="22"/>
          <w:szCs w:val="22"/>
        </w:rPr>
        <w:t xml:space="preserve">Klient, kterému je nebo byla poskytovaná soc. služba. </w:t>
      </w:r>
    </w:p>
    <w:p w:rsidR="00E47636" w:rsidRDefault="004C0325">
      <w:pPr>
        <w:numPr>
          <w:ilvl w:val="0"/>
          <w:numId w:val="1"/>
        </w:numPr>
        <w:jc w:val="both"/>
        <w:rPr>
          <w:rFonts w:ascii="Arial" w:eastAsia="Arial" w:hAnsi="Arial" w:cs="Arial"/>
          <w:sz w:val="22"/>
          <w:szCs w:val="22"/>
        </w:rPr>
      </w:pPr>
      <w:r>
        <w:rPr>
          <w:rFonts w:ascii="Arial" w:eastAsia="Arial" w:hAnsi="Arial" w:cs="Arial"/>
          <w:sz w:val="22"/>
          <w:szCs w:val="22"/>
        </w:rPr>
        <w:t xml:space="preserve">Opatrovník, podpůrce, člen domácnosti (zastoupení členem domácnosti dle § 49 Nového občanského zákoníku č. 89/2012 Sb.) klienta, kterému je nebo byla poskytovaná sociální služba. </w:t>
      </w:r>
    </w:p>
    <w:p w:rsidR="00E47636" w:rsidRDefault="004C0325">
      <w:pPr>
        <w:numPr>
          <w:ilvl w:val="0"/>
          <w:numId w:val="1"/>
        </w:numPr>
        <w:jc w:val="both"/>
        <w:rPr>
          <w:rFonts w:ascii="Arial" w:eastAsia="Arial" w:hAnsi="Arial" w:cs="Arial"/>
          <w:sz w:val="22"/>
          <w:szCs w:val="22"/>
        </w:rPr>
      </w:pPr>
      <w:r>
        <w:rPr>
          <w:rFonts w:ascii="Arial" w:eastAsia="Arial" w:hAnsi="Arial" w:cs="Arial"/>
          <w:sz w:val="22"/>
          <w:szCs w:val="22"/>
        </w:rPr>
        <w:t>Osoba blízká, nemůže-li stížnost podat klient, které je nebo byla sociální s</w:t>
      </w:r>
      <w:r>
        <w:rPr>
          <w:rFonts w:ascii="Arial" w:eastAsia="Arial" w:hAnsi="Arial" w:cs="Arial"/>
          <w:sz w:val="22"/>
          <w:szCs w:val="22"/>
        </w:rPr>
        <w:t>lužba poskytována, s ohledem na svůj zdravotní stav nebo proto, že zemřel.</w:t>
      </w:r>
    </w:p>
    <w:p w:rsidR="00E47636" w:rsidRDefault="004C0325">
      <w:pPr>
        <w:numPr>
          <w:ilvl w:val="0"/>
          <w:numId w:val="1"/>
        </w:numPr>
        <w:jc w:val="both"/>
        <w:rPr>
          <w:rFonts w:ascii="Arial" w:eastAsia="Arial" w:hAnsi="Arial" w:cs="Arial"/>
          <w:sz w:val="22"/>
          <w:szCs w:val="22"/>
        </w:rPr>
      </w:pPr>
      <w:r>
        <w:rPr>
          <w:rFonts w:ascii="Arial" w:eastAsia="Arial" w:hAnsi="Arial" w:cs="Arial"/>
          <w:sz w:val="22"/>
          <w:szCs w:val="22"/>
        </w:rPr>
        <w:t>Osoba zmocněná klientem, kterému je nebo byla poskytována sociální služba.</w:t>
      </w:r>
    </w:p>
    <w:p w:rsidR="00E47636" w:rsidRDefault="004C0325">
      <w:pPr>
        <w:numPr>
          <w:ilvl w:val="0"/>
          <w:numId w:val="1"/>
        </w:numPr>
        <w:jc w:val="both"/>
        <w:rPr>
          <w:rFonts w:ascii="Arial" w:eastAsia="Arial" w:hAnsi="Arial" w:cs="Arial"/>
          <w:sz w:val="22"/>
          <w:szCs w:val="22"/>
        </w:rPr>
      </w:pPr>
      <w:r>
        <w:rPr>
          <w:rFonts w:ascii="Arial" w:eastAsia="Arial" w:hAnsi="Arial" w:cs="Arial"/>
          <w:sz w:val="22"/>
          <w:szCs w:val="22"/>
        </w:rPr>
        <w:t>Zaměstnanec sociální služby.</w:t>
      </w:r>
    </w:p>
    <w:p w:rsidR="00E47636" w:rsidRDefault="004C0325">
      <w:pPr>
        <w:numPr>
          <w:ilvl w:val="0"/>
          <w:numId w:val="1"/>
        </w:numPr>
        <w:jc w:val="both"/>
        <w:rPr>
          <w:rFonts w:ascii="Arial" w:eastAsia="Arial" w:hAnsi="Arial" w:cs="Arial"/>
          <w:sz w:val="22"/>
          <w:szCs w:val="22"/>
        </w:rPr>
      </w:pPr>
      <w:r>
        <w:rPr>
          <w:rFonts w:ascii="Arial" w:eastAsia="Arial" w:hAnsi="Arial" w:cs="Arial"/>
          <w:sz w:val="22"/>
          <w:szCs w:val="22"/>
        </w:rPr>
        <w:t xml:space="preserve">Stížnost může být podána i jinou fyzická či právnickou osobou. </w:t>
      </w:r>
    </w:p>
    <w:p w:rsidR="00E47636" w:rsidRDefault="00E47636">
      <w:pPr>
        <w:spacing w:line="360" w:lineRule="auto"/>
        <w:jc w:val="both"/>
        <w:rPr>
          <w:rFonts w:ascii="Arial" w:eastAsia="Arial" w:hAnsi="Arial" w:cs="Arial"/>
          <w:color w:val="FF0000"/>
          <w:sz w:val="22"/>
          <w:szCs w:val="22"/>
        </w:rPr>
      </w:pPr>
    </w:p>
    <w:p w:rsidR="00E47636" w:rsidRDefault="004C0325">
      <w:pPr>
        <w:jc w:val="both"/>
        <w:rPr>
          <w:rFonts w:ascii="Arial" w:eastAsia="Arial" w:hAnsi="Arial" w:cs="Arial"/>
          <w:sz w:val="22"/>
          <w:szCs w:val="22"/>
        </w:rPr>
      </w:pPr>
      <w:r>
        <w:rPr>
          <w:rFonts w:ascii="Arial" w:eastAsia="Arial" w:hAnsi="Arial" w:cs="Arial"/>
          <w:sz w:val="22"/>
          <w:szCs w:val="22"/>
        </w:rPr>
        <w:t>Stížnost může být podána ústně, písemně, e-mailem nebo telefonicky na níže uvedené kontakty. V případě, kdy je stížnost podána k jiným organizacím/osobám než je SOCIÁLNÍ ASISTENCE Frýdek-Místek, Frýdlant nad Ostravicí, sociálně aktivizační služby pro rodin</w:t>
      </w:r>
      <w:r>
        <w:rPr>
          <w:rFonts w:ascii="Arial" w:eastAsia="Arial" w:hAnsi="Arial" w:cs="Arial"/>
          <w:sz w:val="22"/>
          <w:szCs w:val="22"/>
        </w:rPr>
        <w:t>y s dětmi</w:t>
      </w:r>
      <w:r>
        <w:rPr>
          <w:rFonts w:ascii="Arial" w:eastAsia="Arial" w:hAnsi="Arial" w:cs="Arial"/>
          <w:b/>
          <w:sz w:val="22"/>
          <w:szCs w:val="22"/>
        </w:rPr>
        <w:t xml:space="preserve"> </w:t>
      </w:r>
      <w:r>
        <w:rPr>
          <w:rFonts w:ascii="Arial" w:eastAsia="Arial" w:hAnsi="Arial" w:cs="Arial"/>
          <w:sz w:val="22"/>
          <w:szCs w:val="22"/>
        </w:rPr>
        <w:t>(dále</w:t>
      </w:r>
      <w:r>
        <w:rPr>
          <w:rFonts w:ascii="Arial" w:eastAsia="Arial" w:hAnsi="Arial" w:cs="Arial"/>
          <w:b/>
          <w:sz w:val="22"/>
          <w:szCs w:val="22"/>
        </w:rPr>
        <w:t xml:space="preserve"> </w:t>
      </w:r>
      <w:r>
        <w:rPr>
          <w:rFonts w:ascii="Arial" w:eastAsia="Arial" w:hAnsi="Arial" w:cs="Arial"/>
          <w:sz w:val="22"/>
          <w:szCs w:val="22"/>
        </w:rPr>
        <w:t xml:space="preserve">SAS FM), je služba součinná při řešení stížností. </w:t>
      </w:r>
    </w:p>
    <w:p w:rsidR="00E47636" w:rsidRDefault="00E47636">
      <w:pPr>
        <w:ind w:left="720"/>
        <w:jc w:val="both"/>
        <w:rPr>
          <w:rFonts w:ascii="Arial" w:eastAsia="Arial" w:hAnsi="Arial" w:cs="Arial"/>
          <w:sz w:val="22"/>
          <w:szCs w:val="22"/>
        </w:rPr>
      </w:pPr>
    </w:p>
    <w:p w:rsidR="00E47636" w:rsidRDefault="004C0325">
      <w:pPr>
        <w:spacing w:line="360" w:lineRule="auto"/>
        <w:jc w:val="both"/>
        <w:rPr>
          <w:rFonts w:ascii="Arial" w:eastAsia="Arial" w:hAnsi="Arial" w:cs="Arial"/>
          <w:b/>
          <w:sz w:val="24"/>
          <w:szCs w:val="24"/>
        </w:rPr>
      </w:pPr>
      <w:r>
        <w:rPr>
          <w:rFonts w:ascii="Arial" w:eastAsia="Arial" w:hAnsi="Arial" w:cs="Arial"/>
          <w:b/>
          <w:sz w:val="24"/>
          <w:szCs w:val="24"/>
        </w:rPr>
        <w:t>Kontakty pro podávání stížností:</w:t>
      </w:r>
    </w:p>
    <w:p w:rsidR="00E47636" w:rsidRDefault="004C0325">
      <w:pPr>
        <w:jc w:val="both"/>
        <w:rPr>
          <w:rFonts w:ascii="Arial" w:eastAsia="Arial" w:hAnsi="Arial" w:cs="Arial"/>
          <w:b/>
          <w:sz w:val="22"/>
          <w:szCs w:val="22"/>
        </w:rPr>
      </w:pPr>
      <w:r>
        <w:rPr>
          <w:rFonts w:ascii="Arial" w:eastAsia="Arial" w:hAnsi="Arial" w:cs="Arial"/>
          <w:b/>
          <w:sz w:val="22"/>
          <w:szCs w:val="22"/>
        </w:rPr>
        <w:t xml:space="preserve">SOCIÁLNÍ ASISTENCE Frýdek-Místek, Frýdlant nad Ostravicí, sociálně aktivizační služby pro rodiny s dětmi </w:t>
      </w:r>
    </w:p>
    <w:p w:rsidR="00E47636" w:rsidRDefault="004C0325">
      <w:pPr>
        <w:jc w:val="both"/>
        <w:rPr>
          <w:rFonts w:ascii="Arial" w:eastAsia="Arial" w:hAnsi="Arial" w:cs="Arial"/>
          <w:sz w:val="22"/>
          <w:szCs w:val="22"/>
        </w:rPr>
      </w:pPr>
      <w:r>
        <w:rPr>
          <w:rFonts w:ascii="Arial" w:eastAsia="Arial" w:hAnsi="Arial" w:cs="Arial"/>
          <w:sz w:val="22"/>
          <w:szCs w:val="22"/>
        </w:rPr>
        <w:t>Palackého 129, 738 01 Frýdek-Místek</w:t>
      </w:r>
    </w:p>
    <w:p w:rsidR="00E47636" w:rsidRDefault="004C0325">
      <w:pPr>
        <w:spacing w:line="360" w:lineRule="auto"/>
        <w:jc w:val="both"/>
        <w:rPr>
          <w:rFonts w:ascii="Arial" w:eastAsia="Arial" w:hAnsi="Arial" w:cs="Arial"/>
          <w:b/>
          <w:sz w:val="30"/>
          <w:szCs w:val="30"/>
        </w:rPr>
      </w:pPr>
      <w:r>
        <w:rPr>
          <w:rFonts w:ascii="Arial" w:eastAsia="Arial" w:hAnsi="Arial" w:cs="Arial"/>
          <w:sz w:val="22"/>
          <w:szCs w:val="22"/>
        </w:rPr>
        <w:t>tel:739 380 1</w:t>
      </w:r>
      <w:r>
        <w:rPr>
          <w:rFonts w:ascii="Arial" w:eastAsia="Arial" w:hAnsi="Arial" w:cs="Arial"/>
          <w:sz w:val="22"/>
          <w:szCs w:val="22"/>
        </w:rPr>
        <w:t>45, email: asistence.koor.fm@slezskadiakonie.cz</w:t>
      </w:r>
    </w:p>
    <w:p w:rsidR="00E47636" w:rsidRDefault="004C0325">
      <w:pPr>
        <w:jc w:val="both"/>
        <w:rPr>
          <w:rFonts w:ascii="Arial" w:eastAsia="Arial" w:hAnsi="Arial" w:cs="Arial"/>
          <w:b/>
          <w:sz w:val="22"/>
          <w:szCs w:val="22"/>
        </w:rPr>
      </w:pPr>
      <w:r>
        <w:rPr>
          <w:rFonts w:ascii="Arial" w:eastAsia="Arial" w:hAnsi="Arial" w:cs="Arial"/>
          <w:b/>
          <w:sz w:val="22"/>
          <w:szCs w:val="22"/>
        </w:rPr>
        <w:t xml:space="preserve">Vedoucí oblasti Frýdek-Místek, Třinec Bc. Marek </w:t>
      </w:r>
      <w:proofErr w:type="spellStart"/>
      <w:r>
        <w:rPr>
          <w:rFonts w:ascii="Arial" w:eastAsia="Arial" w:hAnsi="Arial" w:cs="Arial"/>
          <w:b/>
          <w:sz w:val="22"/>
          <w:szCs w:val="22"/>
        </w:rPr>
        <w:t>Stebel</w:t>
      </w:r>
      <w:proofErr w:type="spellEnd"/>
    </w:p>
    <w:p w:rsidR="00E47636" w:rsidRDefault="004C0325">
      <w:pPr>
        <w:jc w:val="both"/>
        <w:rPr>
          <w:rFonts w:ascii="Arial" w:eastAsia="Arial" w:hAnsi="Arial" w:cs="Arial"/>
          <w:sz w:val="22"/>
          <w:szCs w:val="22"/>
        </w:rPr>
      </w:pPr>
      <w:r>
        <w:rPr>
          <w:rFonts w:ascii="Arial" w:eastAsia="Arial" w:hAnsi="Arial" w:cs="Arial"/>
          <w:sz w:val="22"/>
          <w:szCs w:val="22"/>
        </w:rPr>
        <w:t>Hraniční 280, 739 61 Třinec</w:t>
      </w:r>
    </w:p>
    <w:p w:rsidR="00E47636" w:rsidRDefault="004C0325">
      <w:pPr>
        <w:jc w:val="both"/>
        <w:rPr>
          <w:rFonts w:ascii="Arial" w:eastAsia="Arial" w:hAnsi="Arial" w:cs="Arial"/>
          <w:sz w:val="22"/>
          <w:szCs w:val="22"/>
        </w:rPr>
      </w:pPr>
      <w:r>
        <w:rPr>
          <w:rFonts w:ascii="Arial" w:eastAsia="Arial" w:hAnsi="Arial" w:cs="Arial"/>
          <w:sz w:val="22"/>
          <w:szCs w:val="22"/>
        </w:rPr>
        <w:t>tel: 704 675 715, email: m.stebel@slezskadiakonie.cz</w:t>
      </w:r>
    </w:p>
    <w:p w:rsidR="00E47636" w:rsidRDefault="00E47636">
      <w:pPr>
        <w:jc w:val="both"/>
        <w:rPr>
          <w:rFonts w:ascii="Arial" w:eastAsia="Arial" w:hAnsi="Arial" w:cs="Arial"/>
          <w:b/>
          <w:sz w:val="22"/>
          <w:szCs w:val="22"/>
        </w:rPr>
      </w:pPr>
    </w:p>
    <w:p w:rsidR="00E47636" w:rsidRDefault="004C0325">
      <w:pPr>
        <w:jc w:val="both"/>
        <w:rPr>
          <w:rFonts w:ascii="Arial" w:eastAsia="Arial" w:hAnsi="Arial" w:cs="Arial"/>
          <w:b/>
          <w:sz w:val="22"/>
          <w:szCs w:val="22"/>
        </w:rPr>
      </w:pPr>
      <w:r>
        <w:rPr>
          <w:rFonts w:ascii="Arial" w:eastAsia="Arial" w:hAnsi="Arial" w:cs="Arial"/>
          <w:b/>
          <w:sz w:val="22"/>
          <w:szCs w:val="22"/>
        </w:rPr>
        <w:t>Slezská diakonie</w:t>
      </w:r>
    </w:p>
    <w:p w:rsidR="00E47636" w:rsidRDefault="004C0325">
      <w:pPr>
        <w:jc w:val="both"/>
        <w:rPr>
          <w:rFonts w:ascii="Arial" w:eastAsia="Arial" w:hAnsi="Arial" w:cs="Arial"/>
          <w:sz w:val="22"/>
          <w:szCs w:val="22"/>
        </w:rPr>
      </w:pPr>
      <w:r>
        <w:rPr>
          <w:rFonts w:ascii="Arial" w:eastAsia="Arial" w:hAnsi="Arial" w:cs="Arial"/>
          <w:sz w:val="22"/>
          <w:szCs w:val="22"/>
        </w:rPr>
        <w:t>Na Nivách 7/259, 737 01 Český Těšín</w:t>
      </w:r>
    </w:p>
    <w:p w:rsidR="00E47636" w:rsidRDefault="004C0325">
      <w:pPr>
        <w:jc w:val="both"/>
        <w:rPr>
          <w:rFonts w:ascii="Arial" w:eastAsia="Arial" w:hAnsi="Arial" w:cs="Arial"/>
          <w:b/>
          <w:sz w:val="22"/>
          <w:szCs w:val="22"/>
        </w:rPr>
      </w:pPr>
      <w:r>
        <w:rPr>
          <w:rFonts w:ascii="Arial" w:eastAsia="Arial" w:hAnsi="Arial" w:cs="Arial"/>
          <w:b/>
          <w:sz w:val="22"/>
          <w:szCs w:val="22"/>
        </w:rPr>
        <w:t>Vedení Slezské dia</w:t>
      </w:r>
      <w:r>
        <w:rPr>
          <w:rFonts w:ascii="Arial" w:eastAsia="Arial" w:hAnsi="Arial" w:cs="Arial"/>
          <w:b/>
          <w:sz w:val="22"/>
          <w:szCs w:val="22"/>
        </w:rPr>
        <w:t>konie</w:t>
      </w:r>
    </w:p>
    <w:p w:rsidR="00E47636" w:rsidRDefault="004C0325">
      <w:pPr>
        <w:jc w:val="both"/>
        <w:rPr>
          <w:rFonts w:ascii="Arial" w:eastAsia="Arial" w:hAnsi="Arial" w:cs="Arial"/>
          <w:sz w:val="22"/>
          <w:szCs w:val="22"/>
        </w:rPr>
      </w:pPr>
      <w:r>
        <w:rPr>
          <w:rFonts w:ascii="Arial" w:eastAsia="Arial" w:hAnsi="Arial" w:cs="Arial"/>
          <w:sz w:val="22"/>
          <w:szCs w:val="22"/>
        </w:rPr>
        <w:t xml:space="preserve">Mgr. Zuzana </w:t>
      </w:r>
      <w:proofErr w:type="spellStart"/>
      <w:r>
        <w:rPr>
          <w:rFonts w:ascii="Arial" w:eastAsia="Arial" w:hAnsi="Arial" w:cs="Arial"/>
          <w:sz w:val="22"/>
          <w:szCs w:val="22"/>
        </w:rPr>
        <w:t>Filipková</w:t>
      </w:r>
      <w:proofErr w:type="spellEnd"/>
      <w:r>
        <w:rPr>
          <w:rFonts w:ascii="Arial" w:eastAsia="Arial" w:hAnsi="Arial" w:cs="Arial"/>
          <w:sz w:val="22"/>
          <w:szCs w:val="22"/>
        </w:rPr>
        <w:t xml:space="preserve">, Ph.D., ředitelka </w:t>
      </w:r>
    </w:p>
    <w:p w:rsidR="00E47636" w:rsidRDefault="004C0325">
      <w:pPr>
        <w:jc w:val="both"/>
        <w:rPr>
          <w:rFonts w:ascii="Arial" w:eastAsia="Arial" w:hAnsi="Arial" w:cs="Arial"/>
          <w:sz w:val="22"/>
          <w:szCs w:val="22"/>
        </w:rPr>
      </w:pPr>
      <w:r>
        <w:rPr>
          <w:rFonts w:ascii="Arial" w:eastAsia="Arial" w:hAnsi="Arial" w:cs="Arial"/>
          <w:sz w:val="22"/>
          <w:szCs w:val="22"/>
        </w:rPr>
        <w:t>tel: 730 166 120, e-mail: ustredi@slezskadiakonie.cz</w:t>
      </w:r>
    </w:p>
    <w:p w:rsidR="00E47636" w:rsidRDefault="004C0325">
      <w:pPr>
        <w:jc w:val="both"/>
        <w:rPr>
          <w:rFonts w:ascii="Arial" w:eastAsia="Arial" w:hAnsi="Arial" w:cs="Arial"/>
          <w:sz w:val="22"/>
          <w:szCs w:val="22"/>
        </w:rPr>
      </w:pPr>
      <w:r>
        <w:rPr>
          <w:rFonts w:ascii="Arial" w:eastAsia="Arial" w:hAnsi="Arial" w:cs="Arial"/>
          <w:sz w:val="22"/>
          <w:szCs w:val="22"/>
        </w:rPr>
        <w:t xml:space="preserve">Mgr. Ing. Romana </w:t>
      </w:r>
      <w:proofErr w:type="spellStart"/>
      <w:r>
        <w:rPr>
          <w:rFonts w:ascii="Arial" w:eastAsia="Arial" w:hAnsi="Arial" w:cs="Arial"/>
          <w:sz w:val="22"/>
          <w:szCs w:val="22"/>
        </w:rPr>
        <w:t>Bélová</w:t>
      </w:r>
      <w:proofErr w:type="spellEnd"/>
      <w:r>
        <w:rPr>
          <w:rFonts w:ascii="Arial" w:eastAsia="Arial" w:hAnsi="Arial" w:cs="Arial"/>
          <w:sz w:val="22"/>
          <w:szCs w:val="22"/>
        </w:rPr>
        <w:t>, náměstkyně ředitelky</w:t>
      </w:r>
    </w:p>
    <w:p w:rsidR="00E47636" w:rsidRDefault="004C0325">
      <w:pPr>
        <w:jc w:val="both"/>
        <w:rPr>
          <w:rFonts w:ascii="Arial" w:eastAsia="Arial" w:hAnsi="Arial" w:cs="Arial"/>
          <w:sz w:val="22"/>
          <w:szCs w:val="22"/>
        </w:rPr>
      </w:pPr>
      <w:r>
        <w:rPr>
          <w:rFonts w:ascii="Arial" w:eastAsia="Arial" w:hAnsi="Arial" w:cs="Arial"/>
          <w:sz w:val="22"/>
          <w:szCs w:val="22"/>
        </w:rPr>
        <w:t xml:space="preserve"> tel: 731 199 480, e-mail: r.belova@slezskadiakonie.cz</w:t>
      </w:r>
    </w:p>
    <w:p w:rsidR="00E47636" w:rsidRDefault="00E47636">
      <w:pPr>
        <w:jc w:val="both"/>
        <w:rPr>
          <w:rFonts w:ascii="Arial" w:eastAsia="Arial" w:hAnsi="Arial" w:cs="Arial"/>
          <w:b/>
          <w:sz w:val="22"/>
          <w:szCs w:val="22"/>
        </w:rPr>
      </w:pPr>
    </w:p>
    <w:p w:rsidR="00E47636" w:rsidRDefault="004C0325">
      <w:pPr>
        <w:jc w:val="both"/>
        <w:rPr>
          <w:rFonts w:ascii="Arial" w:eastAsia="Arial" w:hAnsi="Arial" w:cs="Arial"/>
          <w:b/>
          <w:sz w:val="22"/>
          <w:szCs w:val="22"/>
        </w:rPr>
      </w:pPr>
      <w:r>
        <w:rPr>
          <w:rFonts w:ascii="Arial" w:eastAsia="Arial" w:hAnsi="Arial" w:cs="Arial"/>
          <w:b/>
          <w:sz w:val="22"/>
          <w:szCs w:val="22"/>
        </w:rPr>
        <w:t>Další možnosti podání stížnosti:</w:t>
      </w:r>
    </w:p>
    <w:p w:rsidR="00E47636" w:rsidRDefault="004C0325">
      <w:pPr>
        <w:jc w:val="both"/>
        <w:rPr>
          <w:rFonts w:ascii="Arial" w:eastAsia="Arial" w:hAnsi="Arial" w:cs="Arial"/>
          <w:b/>
          <w:sz w:val="22"/>
          <w:szCs w:val="22"/>
        </w:rPr>
      </w:pPr>
      <w:r>
        <w:rPr>
          <w:rFonts w:ascii="Arial" w:eastAsia="Arial" w:hAnsi="Arial" w:cs="Arial"/>
          <w:b/>
          <w:sz w:val="22"/>
          <w:szCs w:val="22"/>
        </w:rPr>
        <w:t>Zřizovatel Slezské diakonie</w:t>
      </w:r>
    </w:p>
    <w:p w:rsidR="00E47636" w:rsidRDefault="004C0325">
      <w:pPr>
        <w:jc w:val="both"/>
        <w:rPr>
          <w:rFonts w:ascii="Arial" w:eastAsia="Arial" w:hAnsi="Arial" w:cs="Arial"/>
          <w:sz w:val="22"/>
          <w:szCs w:val="22"/>
        </w:rPr>
      </w:pPr>
      <w:r>
        <w:rPr>
          <w:rFonts w:ascii="Arial" w:eastAsia="Arial" w:hAnsi="Arial" w:cs="Arial"/>
          <w:sz w:val="22"/>
          <w:szCs w:val="22"/>
        </w:rPr>
        <w:t xml:space="preserve">Slezská církev evangelická </w:t>
      </w:r>
      <w:proofErr w:type="spellStart"/>
      <w:proofErr w:type="gramStart"/>
      <w:r>
        <w:rPr>
          <w:rFonts w:ascii="Arial" w:eastAsia="Arial" w:hAnsi="Arial" w:cs="Arial"/>
          <w:sz w:val="22"/>
          <w:szCs w:val="22"/>
        </w:rPr>
        <w:t>a.v</w:t>
      </w:r>
      <w:proofErr w:type="spellEnd"/>
      <w:r>
        <w:rPr>
          <w:rFonts w:ascii="Arial" w:eastAsia="Arial" w:hAnsi="Arial" w:cs="Arial"/>
          <w:sz w:val="22"/>
          <w:szCs w:val="22"/>
        </w:rPr>
        <w:t>.</w:t>
      </w:r>
      <w:proofErr w:type="gramEnd"/>
    </w:p>
    <w:p w:rsidR="00E47636" w:rsidRDefault="004C0325">
      <w:pPr>
        <w:jc w:val="both"/>
        <w:rPr>
          <w:rFonts w:ascii="Arial" w:eastAsia="Arial" w:hAnsi="Arial" w:cs="Arial"/>
          <w:sz w:val="22"/>
          <w:szCs w:val="22"/>
        </w:rPr>
      </w:pPr>
      <w:r>
        <w:rPr>
          <w:rFonts w:ascii="Arial" w:eastAsia="Arial" w:hAnsi="Arial" w:cs="Arial"/>
          <w:sz w:val="22"/>
          <w:szCs w:val="22"/>
        </w:rPr>
        <w:t>Na Nivách 7/259, 737 01 Český Těšín</w:t>
      </w:r>
    </w:p>
    <w:p w:rsidR="00E47636" w:rsidRDefault="004C0325">
      <w:pPr>
        <w:jc w:val="both"/>
        <w:rPr>
          <w:rFonts w:ascii="Arial" w:eastAsia="Arial" w:hAnsi="Arial" w:cs="Arial"/>
          <w:sz w:val="22"/>
          <w:szCs w:val="22"/>
        </w:rPr>
      </w:pPr>
      <w:r>
        <w:rPr>
          <w:rFonts w:ascii="Arial" w:eastAsia="Arial" w:hAnsi="Arial" w:cs="Arial"/>
          <w:sz w:val="22"/>
          <w:szCs w:val="22"/>
        </w:rPr>
        <w:t xml:space="preserve">tel: 558 764 380, e-mail: sekretariat@sceav.cz </w:t>
      </w:r>
    </w:p>
    <w:p w:rsidR="00E47636" w:rsidRDefault="00E47636">
      <w:pPr>
        <w:jc w:val="both"/>
        <w:rPr>
          <w:rFonts w:ascii="Arial" w:eastAsia="Arial" w:hAnsi="Arial" w:cs="Arial"/>
          <w:b/>
          <w:sz w:val="22"/>
          <w:szCs w:val="22"/>
        </w:rPr>
      </w:pPr>
    </w:p>
    <w:p w:rsidR="00E47636" w:rsidRDefault="00E47636">
      <w:pPr>
        <w:jc w:val="both"/>
        <w:rPr>
          <w:rFonts w:ascii="Arial" w:eastAsia="Arial" w:hAnsi="Arial" w:cs="Arial"/>
          <w:b/>
          <w:sz w:val="22"/>
          <w:szCs w:val="22"/>
        </w:rPr>
      </w:pPr>
    </w:p>
    <w:p w:rsidR="00E47636" w:rsidRDefault="00E47636">
      <w:pPr>
        <w:jc w:val="both"/>
        <w:rPr>
          <w:rFonts w:ascii="Arial" w:eastAsia="Arial" w:hAnsi="Arial" w:cs="Arial"/>
          <w:b/>
          <w:sz w:val="22"/>
          <w:szCs w:val="22"/>
        </w:rPr>
      </w:pPr>
    </w:p>
    <w:p w:rsidR="00E47636" w:rsidRDefault="004C0325">
      <w:pPr>
        <w:jc w:val="both"/>
        <w:rPr>
          <w:rFonts w:ascii="Arial" w:eastAsia="Arial" w:hAnsi="Arial" w:cs="Arial"/>
          <w:b/>
          <w:sz w:val="22"/>
          <w:szCs w:val="22"/>
        </w:rPr>
      </w:pPr>
      <w:r>
        <w:rPr>
          <w:rFonts w:ascii="Arial" w:eastAsia="Arial" w:hAnsi="Arial" w:cs="Arial"/>
          <w:b/>
          <w:sz w:val="22"/>
          <w:szCs w:val="22"/>
        </w:rPr>
        <w:lastRenderedPageBreak/>
        <w:t>Kancelář veřejného ochránce práv</w:t>
      </w:r>
    </w:p>
    <w:p w:rsidR="00E47636" w:rsidRDefault="004C0325">
      <w:pPr>
        <w:jc w:val="both"/>
        <w:rPr>
          <w:rFonts w:ascii="Arial" w:eastAsia="Arial" w:hAnsi="Arial" w:cs="Arial"/>
          <w:sz w:val="22"/>
          <w:szCs w:val="22"/>
        </w:rPr>
      </w:pPr>
      <w:r>
        <w:rPr>
          <w:rFonts w:ascii="Arial" w:eastAsia="Arial" w:hAnsi="Arial" w:cs="Arial"/>
          <w:sz w:val="22"/>
          <w:szCs w:val="22"/>
        </w:rPr>
        <w:t>Údolní 658, 602 00 Brno-střed</w:t>
      </w:r>
    </w:p>
    <w:p w:rsidR="00E47636" w:rsidRDefault="004C0325">
      <w:pPr>
        <w:jc w:val="both"/>
        <w:rPr>
          <w:rFonts w:ascii="Arial" w:eastAsia="Arial" w:hAnsi="Arial" w:cs="Arial"/>
          <w:sz w:val="22"/>
          <w:szCs w:val="22"/>
        </w:rPr>
      </w:pPr>
      <w:r>
        <w:rPr>
          <w:rFonts w:ascii="Arial" w:eastAsia="Arial" w:hAnsi="Arial" w:cs="Arial"/>
          <w:sz w:val="22"/>
          <w:szCs w:val="22"/>
        </w:rPr>
        <w:t>tel: 542 542 888, e-mail: podatelna@ochrance.cz</w:t>
      </w:r>
    </w:p>
    <w:p w:rsidR="00E47636" w:rsidRDefault="00E47636">
      <w:pPr>
        <w:pBdr>
          <w:top w:val="nil"/>
          <w:left w:val="nil"/>
          <w:bottom w:val="nil"/>
          <w:right w:val="nil"/>
          <w:between w:val="nil"/>
        </w:pBdr>
        <w:spacing w:after="120"/>
        <w:jc w:val="both"/>
        <w:rPr>
          <w:rFonts w:ascii="Arial" w:eastAsia="Arial" w:hAnsi="Arial" w:cs="Arial"/>
          <w:sz w:val="22"/>
          <w:szCs w:val="22"/>
        </w:rPr>
      </w:pPr>
    </w:p>
    <w:p w:rsidR="00E47636" w:rsidRDefault="004C0325">
      <w:pPr>
        <w:spacing w:after="120"/>
        <w:jc w:val="both"/>
        <w:rPr>
          <w:rFonts w:ascii="Arial" w:eastAsia="Arial" w:hAnsi="Arial" w:cs="Arial"/>
          <w:sz w:val="22"/>
          <w:szCs w:val="22"/>
        </w:rPr>
      </w:pPr>
      <w:r>
        <w:rPr>
          <w:rFonts w:ascii="Arial" w:eastAsia="Arial" w:hAnsi="Arial" w:cs="Arial"/>
          <w:b/>
          <w:sz w:val="24"/>
          <w:szCs w:val="24"/>
        </w:rPr>
        <w:t>Způsoby podávání stížností v SAS FM</w:t>
      </w:r>
    </w:p>
    <w:p w:rsidR="00E47636" w:rsidRDefault="004C0325">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Stížnost</w:t>
      </w:r>
      <w:r>
        <w:rPr>
          <w:rFonts w:ascii="Arial" w:eastAsia="Arial" w:hAnsi="Arial" w:cs="Arial"/>
          <w:color w:val="000000"/>
          <w:sz w:val="22"/>
          <w:szCs w:val="22"/>
        </w:rPr>
        <w:t xml:space="preserve"> může klient podat každému pracovníkovi SAS FM.  </w:t>
      </w:r>
      <w:r>
        <w:rPr>
          <w:rFonts w:ascii="Arial" w:eastAsia="Arial" w:hAnsi="Arial" w:cs="Arial"/>
          <w:sz w:val="22"/>
          <w:szCs w:val="22"/>
        </w:rPr>
        <w:t>Pracovník, který přijal stížnost, je zodpovědný za předání stížností k řešení vedoucímu střediska. V případě stížn</w:t>
      </w:r>
      <w:r>
        <w:rPr>
          <w:rFonts w:ascii="Arial" w:eastAsia="Arial" w:hAnsi="Arial" w:cs="Arial"/>
          <w:sz w:val="22"/>
          <w:szCs w:val="22"/>
        </w:rPr>
        <w:t xml:space="preserve">osti směřované na vedoucího střediska řeší stížnost vedoucí oblasti. </w:t>
      </w:r>
    </w:p>
    <w:p w:rsidR="00E47636" w:rsidRDefault="00E47636">
      <w:pPr>
        <w:pBdr>
          <w:top w:val="nil"/>
          <w:left w:val="nil"/>
          <w:bottom w:val="nil"/>
          <w:right w:val="nil"/>
          <w:between w:val="nil"/>
        </w:pBdr>
        <w:spacing w:after="120"/>
        <w:jc w:val="both"/>
        <w:rPr>
          <w:rFonts w:ascii="Arial" w:eastAsia="Arial" w:hAnsi="Arial" w:cs="Arial"/>
          <w:color w:val="000000"/>
          <w:sz w:val="22"/>
          <w:szCs w:val="22"/>
        </w:rPr>
      </w:pPr>
    </w:p>
    <w:p w:rsidR="00E47636" w:rsidRDefault="004C0325">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 xml:space="preserve">Možnosti podání </w:t>
      </w:r>
      <w:r>
        <w:rPr>
          <w:rFonts w:ascii="Arial" w:eastAsia="Arial" w:hAnsi="Arial" w:cs="Arial"/>
          <w:color w:val="000000"/>
          <w:sz w:val="22"/>
          <w:szCs w:val="22"/>
        </w:rPr>
        <w:t>stížnosti</w:t>
      </w:r>
      <w:r>
        <w:rPr>
          <w:rFonts w:ascii="Arial" w:eastAsia="Arial" w:hAnsi="Arial" w:cs="Arial"/>
          <w:sz w:val="22"/>
          <w:szCs w:val="22"/>
        </w:rPr>
        <w:t>:</w:t>
      </w:r>
    </w:p>
    <w:p w:rsidR="00E47636" w:rsidRDefault="004C0325">
      <w:pPr>
        <w:numPr>
          <w:ilvl w:val="0"/>
          <w:numId w:val="2"/>
        </w:numPr>
        <w:pBdr>
          <w:top w:val="nil"/>
          <w:left w:val="nil"/>
          <w:bottom w:val="nil"/>
          <w:right w:val="nil"/>
          <w:between w:val="nil"/>
        </w:pBdr>
        <w:spacing w:after="120"/>
        <w:ind w:left="360"/>
        <w:jc w:val="both"/>
        <w:rPr>
          <w:color w:val="000000"/>
          <w:sz w:val="22"/>
          <w:szCs w:val="22"/>
        </w:rPr>
      </w:pPr>
      <w:r>
        <w:rPr>
          <w:rFonts w:ascii="Arial" w:eastAsia="Arial" w:hAnsi="Arial" w:cs="Arial"/>
          <w:b/>
          <w:color w:val="000000"/>
          <w:sz w:val="22"/>
          <w:szCs w:val="22"/>
        </w:rPr>
        <w:t>ústně</w:t>
      </w:r>
      <w:r>
        <w:rPr>
          <w:rFonts w:ascii="Arial" w:eastAsia="Arial" w:hAnsi="Arial" w:cs="Arial"/>
          <w:color w:val="000000"/>
          <w:sz w:val="22"/>
          <w:szCs w:val="22"/>
        </w:rPr>
        <w:t xml:space="preserve"> – ve středisku SAS FM ve dnech </w:t>
      </w:r>
      <w:proofErr w:type="gramStart"/>
      <w:r>
        <w:rPr>
          <w:rFonts w:ascii="Arial" w:eastAsia="Arial" w:hAnsi="Arial" w:cs="Arial"/>
          <w:color w:val="000000"/>
          <w:sz w:val="22"/>
          <w:szCs w:val="22"/>
        </w:rPr>
        <w:t>pondělí</w:t>
      </w:r>
      <w:proofErr w:type="gramEnd"/>
      <w:r>
        <w:rPr>
          <w:rFonts w:ascii="Arial" w:eastAsia="Arial" w:hAnsi="Arial" w:cs="Arial"/>
          <w:color w:val="000000"/>
          <w:sz w:val="22"/>
          <w:szCs w:val="22"/>
        </w:rPr>
        <w:t>–</w:t>
      </w:r>
      <w:proofErr w:type="gramStart"/>
      <w:r>
        <w:rPr>
          <w:rFonts w:ascii="Arial" w:eastAsia="Arial" w:hAnsi="Arial" w:cs="Arial"/>
          <w:color w:val="000000"/>
          <w:sz w:val="22"/>
          <w:szCs w:val="22"/>
        </w:rPr>
        <w:t>pátek</w:t>
      </w:r>
      <w:proofErr w:type="gramEnd"/>
      <w:r>
        <w:rPr>
          <w:rFonts w:ascii="Arial" w:eastAsia="Arial" w:hAnsi="Arial" w:cs="Arial"/>
          <w:color w:val="000000"/>
          <w:sz w:val="22"/>
          <w:szCs w:val="22"/>
        </w:rPr>
        <w:t xml:space="preserve"> od 7:00 – 15:00 hodin. Jelikož se jedná o terénní službu, nemusí být pracovníci vždy v kanceláři přítomni. </w:t>
      </w:r>
      <w:r>
        <w:rPr>
          <w:rFonts w:ascii="Arial" w:eastAsia="Arial" w:hAnsi="Arial" w:cs="Arial"/>
          <w:color w:val="000000"/>
          <w:sz w:val="22"/>
          <w:szCs w:val="22"/>
        </w:rPr>
        <w:t>Každé úterý je ambulantní služba, kde od 8:00 – 15:00 je v kanceláři k zastižení vždy jeden pracovník. Pracovník SAS FM, kte</w:t>
      </w:r>
      <w:r>
        <w:rPr>
          <w:rFonts w:ascii="Arial" w:eastAsia="Arial" w:hAnsi="Arial" w:cs="Arial"/>
          <w:sz w:val="22"/>
          <w:szCs w:val="22"/>
        </w:rPr>
        <w:t>rý přijme ústní stížnost, provede záznam do Formuláře pro podání stížnosti na poskytování sociální služby (Příloha č. 1) a zaeviduje</w:t>
      </w:r>
      <w:r>
        <w:rPr>
          <w:rFonts w:ascii="Arial" w:eastAsia="Arial" w:hAnsi="Arial" w:cs="Arial"/>
          <w:sz w:val="22"/>
          <w:szCs w:val="22"/>
        </w:rPr>
        <w:t xml:space="preserve"> přijetí stížnosti do Evidence stížností. Stížnost může být podána ústně i při návštěvě pracovníka v rodině, pracovníci si s sebou nosí formuláře pro zaznamenání stížností. </w:t>
      </w:r>
    </w:p>
    <w:p w:rsidR="00E47636" w:rsidRDefault="004C0325">
      <w:pPr>
        <w:numPr>
          <w:ilvl w:val="0"/>
          <w:numId w:val="2"/>
        </w:numPr>
        <w:pBdr>
          <w:top w:val="nil"/>
          <w:left w:val="nil"/>
          <w:bottom w:val="nil"/>
          <w:right w:val="nil"/>
          <w:between w:val="nil"/>
        </w:pBdr>
        <w:spacing w:after="120"/>
        <w:ind w:left="420"/>
        <w:jc w:val="both"/>
        <w:rPr>
          <w:color w:val="000000"/>
          <w:sz w:val="22"/>
          <w:szCs w:val="22"/>
        </w:rPr>
      </w:pPr>
      <w:r>
        <w:rPr>
          <w:rFonts w:ascii="Arial" w:eastAsia="Arial" w:hAnsi="Arial" w:cs="Arial"/>
          <w:b/>
          <w:sz w:val="22"/>
          <w:szCs w:val="22"/>
        </w:rPr>
        <w:t>písemně</w:t>
      </w:r>
      <w:r>
        <w:rPr>
          <w:rFonts w:ascii="Arial" w:eastAsia="Arial" w:hAnsi="Arial" w:cs="Arial"/>
          <w:sz w:val="22"/>
          <w:szCs w:val="22"/>
        </w:rPr>
        <w:t xml:space="preserve"> – klient </w:t>
      </w:r>
      <w:r>
        <w:rPr>
          <w:rFonts w:ascii="Arial" w:eastAsia="Arial" w:hAnsi="Arial" w:cs="Arial"/>
          <w:b/>
          <w:sz w:val="22"/>
          <w:szCs w:val="22"/>
        </w:rPr>
        <w:t>předá písemnou stížnost</w:t>
      </w:r>
      <w:r>
        <w:rPr>
          <w:rFonts w:ascii="Arial" w:eastAsia="Arial" w:hAnsi="Arial" w:cs="Arial"/>
          <w:sz w:val="22"/>
          <w:szCs w:val="22"/>
        </w:rPr>
        <w:t xml:space="preserve"> kterémukoliv pracovníkovi a ten je povinen ji předat řešiteli k vyřízení. Pokud je stížnost předána na volném listě, zaeviduje stížnost do Formuláře pro podání stížnosti na poskytování sociální služby a volný list se stížností k němu přiloží. Stížnost je </w:t>
      </w:r>
      <w:r>
        <w:rPr>
          <w:rFonts w:ascii="Arial" w:eastAsia="Arial" w:hAnsi="Arial" w:cs="Arial"/>
          <w:sz w:val="22"/>
          <w:szCs w:val="22"/>
        </w:rPr>
        <w:t xml:space="preserve">možno </w:t>
      </w:r>
      <w:r>
        <w:rPr>
          <w:rFonts w:ascii="Arial" w:eastAsia="Arial" w:hAnsi="Arial" w:cs="Arial"/>
          <w:b/>
          <w:sz w:val="22"/>
          <w:szCs w:val="22"/>
        </w:rPr>
        <w:t>zaslat poštou</w:t>
      </w:r>
      <w:r>
        <w:rPr>
          <w:rFonts w:ascii="Arial" w:eastAsia="Arial" w:hAnsi="Arial" w:cs="Arial"/>
          <w:sz w:val="22"/>
          <w:szCs w:val="22"/>
        </w:rPr>
        <w:t xml:space="preserve"> na adresu služby.  Pracovník střediska, který převezme tuto zásilku, zaeviduje přijetí stížnosti do evidence stížností a „Došlé pošty“. Stížnost může být </w:t>
      </w:r>
      <w:r>
        <w:rPr>
          <w:rFonts w:ascii="Arial" w:eastAsia="Arial" w:hAnsi="Arial" w:cs="Arial"/>
          <w:b/>
          <w:sz w:val="22"/>
          <w:szCs w:val="22"/>
        </w:rPr>
        <w:t>vložena do Schránky stížností</w:t>
      </w:r>
      <w:r>
        <w:rPr>
          <w:rFonts w:ascii="Arial" w:eastAsia="Arial" w:hAnsi="Arial" w:cs="Arial"/>
          <w:sz w:val="22"/>
          <w:szCs w:val="22"/>
        </w:rPr>
        <w:t>, která je umístěná na dostupném místě u kanceláře SA</w:t>
      </w:r>
      <w:r>
        <w:rPr>
          <w:rFonts w:ascii="Arial" w:eastAsia="Arial" w:hAnsi="Arial" w:cs="Arial"/>
          <w:sz w:val="22"/>
          <w:szCs w:val="22"/>
        </w:rPr>
        <w:t>S FM. Schránka je vybírána pravidelně každé úterý 2 pověřenými pracovníky služby. Přijetí stížnosti se eviduje do elektronického formuláře Stížnosti – rok 20xx – kontrola schránk</w:t>
      </w:r>
      <w:r>
        <w:rPr>
          <w:rFonts w:ascii="Arial" w:eastAsia="Arial" w:hAnsi="Arial" w:cs="Arial"/>
          <w:color w:val="000000"/>
          <w:sz w:val="22"/>
          <w:szCs w:val="22"/>
        </w:rPr>
        <w:t>y stížností</w:t>
      </w:r>
      <w:r>
        <w:rPr>
          <w:rFonts w:ascii="Arial" w:eastAsia="Arial" w:hAnsi="Arial" w:cs="Arial"/>
          <w:sz w:val="22"/>
          <w:szCs w:val="22"/>
        </w:rPr>
        <w:t xml:space="preserve">. </w:t>
      </w:r>
      <w:r>
        <w:rPr>
          <w:rFonts w:ascii="Arial" w:eastAsia="Arial" w:hAnsi="Arial" w:cs="Arial"/>
          <w:b/>
          <w:color w:val="000000"/>
          <w:sz w:val="22"/>
          <w:szCs w:val="22"/>
        </w:rPr>
        <w:t>Elektronicky</w:t>
      </w:r>
      <w:r>
        <w:rPr>
          <w:rFonts w:ascii="Arial" w:eastAsia="Arial" w:hAnsi="Arial" w:cs="Arial"/>
          <w:color w:val="000000"/>
          <w:sz w:val="22"/>
          <w:szCs w:val="22"/>
        </w:rPr>
        <w:t xml:space="preserve"> je možné zas</w:t>
      </w:r>
      <w:r>
        <w:rPr>
          <w:rFonts w:ascii="Arial" w:eastAsia="Arial" w:hAnsi="Arial" w:cs="Arial"/>
          <w:sz w:val="22"/>
          <w:szCs w:val="22"/>
        </w:rPr>
        <w:t xml:space="preserve">lat stížnost </w:t>
      </w:r>
      <w:r>
        <w:rPr>
          <w:rFonts w:ascii="Arial" w:eastAsia="Arial" w:hAnsi="Arial" w:cs="Arial"/>
          <w:color w:val="000000"/>
          <w:sz w:val="22"/>
          <w:szCs w:val="22"/>
        </w:rPr>
        <w:t xml:space="preserve">prostřednictvím </w:t>
      </w:r>
      <w:r>
        <w:rPr>
          <w:rFonts w:ascii="Arial" w:eastAsia="Arial" w:hAnsi="Arial" w:cs="Arial"/>
          <w:sz w:val="22"/>
          <w:szCs w:val="22"/>
        </w:rPr>
        <w:t>zveřejněného</w:t>
      </w:r>
      <w:r>
        <w:rPr>
          <w:rFonts w:ascii="Arial" w:eastAsia="Arial" w:hAnsi="Arial" w:cs="Arial"/>
          <w:color w:val="000000"/>
          <w:sz w:val="22"/>
          <w:szCs w:val="22"/>
        </w:rPr>
        <w:t xml:space="preserve"> e-mailu. </w:t>
      </w:r>
      <w:r>
        <w:rPr>
          <w:rFonts w:ascii="Arial" w:eastAsia="Arial" w:hAnsi="Arial" w:cs="Arial"/>
          <w:sz w:val="22"/>
          <w:szCs w:val="22"/>
        </w:rPr>
        <w:t>Vedoucí</w:t>
      </w:r>
      <w:r>
        <w:rPr>
          <w:rFonts w:ascii="Arial" w:eastAsia="Arial" w:hAnsi="Arial" w:cs="Arial"/>
          <w:color w:val="000000"/>
          <w:sz w:val="22"/>
          <w:szCs w:val="22"/>
        </w:rPr>
        <w:t xml:space="preserve"> střediska, který kontroluje příchozí poštu, elektronick</w:t>
      </w:r>
      <w:r>
        <w:rPr>
          <w:rFonts w:ascii="Arial" w:eastAsia="Arial" w:hAnsi="Arial" w:cs="Arial"/>
          <w:sz w:val="22"/>
          <w:szCs w:val="22"/>
        </w:rPr>
        <w:t>ou</w:t>
      </w:r>
      <w:r>
        <w:rPr>
          <w:rFonts w:ascii="Arial" w:eastAsia="Arial" w:hAnsi="Arial" w:cs="Arial"/>
          <w:color w:val="000000"/>
          <w:sz w:val="22"/>
          <w:szCs w:val="22"/>
        </w:rPr>
        <w:t xml:space="preserve"> stížnost vytiskne a zaeviduje přijetí d</w:t>
      </w:r>
      <w:r>
        <w:rPr>
          <w:rFonts w:ascii="Arial" w:eastAsia="Arial" w:hAnsi="Arial" w:cs="Arial"/>
          <w:sz w:val="22"/>
          <w:szCs w:val="22"/>
        </w:rPr>
        <w:t>o</w:t>
      </w:r>
      <w:r>
        <w:rPr>
          <w:rFonts w:ascii="Arial" w:eastAsia="Arial" w:hAnsi="Arial" w:cs="Arial"/>
          <w:color w:val="000000"/>
          <w:sz w:val="22"/>
          <w:szCs w:val="22"/>
        </w:rPr>
        <w:t xml:space="preserve"> </w:t>
      </w:r>
      <w:r>
        <w:rPr>
          <w:rFonts w:ascii="Arial" w:eastAsia="Arial" w:hAnsi="Arial" w:cs="Arial"/>
          <w:sz w:val="22"/>
          <w:szCs w:val="22"/>
        </w:rPr>
        <w:t xml:space="preserve">elektronické evidence stížností. </w:t>
      </w:r>
    </w:p>
    <w:p w:rsidR="00E47636" w:rsidRDefault="004C0325">
      <w:pPr>
        <w:numPr>
          <w:ilvl w:val="0"/>
          <w:numId w:val="2"/>
        </w:numPr>
        <w:pBdr>
          <w:top w:val="nil"/>
          <w:left w:val="nil"/>
          <w:bottom w:val="nil"/>
          <w:right w:val="nil"/>
          <w:between w:val="nil"/>
        </w:pBdr>
        <w:spacing w:after="120"/>
        <w:ind w:left="420"/>
        <w:jc w:val="both"/>
        <w:rPr>
          <w:sz w:val="22"/>
          <w:szCs w:val="22"/>
        </w:rPr>
      </w:pPr>
      <w:r>
        <w:rPr>
          <w:rFonts w:ascii="Arial" w:eastAsia="Arial" w:hAnsi="Arial" w:cs="Arial"/>
          <w:b/>
          <w:color w:val="000000"/>
          <w:sz w:val="22"/>
          <w:szCs w:val="22"/>
        </w:rPr>
        <w:t>telefonicky – na</w:t>
      </w:r>
      <w:r>
        <w:rPr>
          <w:rFonts w:ascii="Arial" w:eastAsia="Arial" w:hAnsi="Arial" w:cs="Arial"/>
          <w:color w:val="000000"/>
          <w:sz w:val="22"/>
          <w:szCs w:val="22"/>
        </w:rPr>
        <w:t xml:space="preserve"> telefonním čísle</w:t>
      </w:r>
      <w:r>
        <w:rPr>
          <w:rFonts w:ascii="Arial" w:eastAsia="Arial" w:hAnsi="Arial" w:cs="Arial"/>
          <w:sz w:val="22"/>
          <w:szCs w:val="22"/>
        </w:rPr>
        <w:t xml:space="preserve"> vedoucí</w:t>
      </w:r>
      <w:r>
        <w:rPr>
          <w:rFonts w:ascii="Arial" w:eastAsia="Arial" w:hAnsi="Arial" w:cs="Arial"/>
          <w:color w:val="000000"/>
          <w:sz w:val="22"/>
          <w:szCs w:val="22"/>
        </w:rPr>
        <w:t xml:space="preserve"> střediska </w:t>
      </w:r>
      <w:r>
        <w:rPr>
          <w:rFonts w:ascii="Arial" w:eastAsia="Arial" w:hAnsi="Arial" w:cs="Arial"/>
          <w:sz w:val="22"/>
          <w:szCs w:val="22"/>
        </w:rPr>
        <w:t>v</w:t>
      </w:r>
      <w:r>
        <w:rPr>
          <w:rFonts w:ascii="Arial" w:eastAsia="Arial" w:hAnsi="Arial" w:cs="Arial"/>
          <w:color w:val="000000"/>
          <w:sz w:val="22"/>
          <w:szCs w:val="22"/>
        </w:rPr>
        <w:t xml:space="preserve">e dnech </w:t>
      </w:r>
      <w:proofErr w:type="gramStart"/>
      <w:r>
        <w:rPr>
          <w:rFonts w:ascii="Arial" w:eastAsia="Arial" w:hAnsi="Arial" w:cs="Arial"/>
          <w:color w:val="000000"/>
          <w:sz w:val="22"/>
          <w:szCs w:val="22"/>
        </w:rPr>
        <w:t>pondělí</w:t>
      </w:r>
      <w:proofErr w:type="gramEnd"/>
      <w:r>
        <w:rPr>
          <w:rFonts w:ascii="Arial" w:eastAsia="Arial" w:hAnsi="Arial" w:cs="Arial"/>
          <w:color w:val="000000"/>
          <w:sz w:val="22"/>
          <w:szCs w:val="22"/>
        </w:rPr>
        <w:t>–</w:t>
      </w:r>
      <w:proofErr w:type="gramStart"/>
      <w:r>
        <w:rPr>
          <w:rFonts w:ascii="Arial" w:eastAsia="Arial" w:hAnsi="Arial" w:cs="Arial"/>
          <w:color w:val="000000"/>
          <w:sz w:val="22"/>
          <w:szCs w:val="22"/>
        </w:rPr>
        <w:t>pátek</w:t>
      </w:r>
      <w:proofErr w:type="gramEnd"/>
      <w:r>
        <w:rPr>
          <w:rFonts w:ascii="Arial" w:eastAsia="Arial" w:hAnsi="Arial" w:cs="Arial"/>
          <w:color w:val="000000"/>
          <w:sz w:val="22"/>
          <w:szCs w:val="22"/>
        </w:rPr>
        <w:t xml:space="preserve"> od 7:00 – 15:00 ho</w:t>
      </w:r>
      <w:r>
        <w:rPr>
          <w:rFonts w:ascii="Arial" w:eastAsia="Arial" w:hAnsi="Arial" w:cs="Arial"/>
          <w:color w:val="000000"/>
          <w:sz w:val="22"/>
          <w:szCs w:val="22"/>
        </w:rPr>
        <w:t xml:space="preserve">din. </w:t>
      </w:r>
      <w:r>
        <w:rPr>
          <w:rFonts w:ascii="Arial" w:eastAsia="Arial" w:hAnsi="Arial" w:cs="Arial"/>
          <w:sz w:val="22"/>
          <w:szCs w:val="22"/>
        </w:rPr>
        <w:t>P</w:t>
      </w:r>
      <w:r>
        <w:rPr>
          <w:rFonts w:ascii="Arial" w:eastAsia="Arial" w:hAnsi="Arial" w:cs="Arial"/>
          <w:color w:val="000000"/>
          <w:sz w:val="22"/>
          <w:szCs w:val="22"/>
        </w:rPr>
        <w:t xml:space="preserve">rovede písemný záznam obsahu stížnosti do formuláře pro podání stížnosti </w:t>
      </w:r>
      <w:r>
        <w:rPr>
          <w:rFonts w:ascii="Arial" w:eastAsia="Arial" w:hAnsi="Arial" w:cs="Arial"/>
          <w:sz w:val="22"/>
          <w:szCs w:val="22"/>
        </w:rPr>
        <w:t>na</w:t>
      </w:r>
      <w:r>
        <w:rPr>
          <w:rFonts w:ascii="Arial" w:eastAsia="Arial" w:hAnsi="Arial" w:cs="Arial"/>
          <w:color w:val="000000"/>
          <w:sz w:val="22"/>
          <w:szCs w:val="22"/>
        </w:rPr>
        <w:t xml:space="preserve"> poskytování sociální služby, domluví s</w:t>
      </w:r>
      <w:r>
        <w:rPr>
          <w:rFonts w:ascii="Arial" w:eastAsia="Arial" w:hAnsi="Arial" w:cs="Arial"/>
          <w:sz w:val="22"/>
          <w:szCs w:val="22"/>
        </w:rPr>
        <w:t>e na způsobu předání stížnosti</w:t>
      </w:r>
      <w:r>
        <w:rPr>
          <w:rFonts w:ascii="Arial" w:eastAsia="Arial" w:hAnsi="Arial" w:cs="Arial"/>
          <w:color w:val="000000"/>
          <w:sz w:val="22"/>
          <w:szCs w:val="22"/>
        </w:rPr>
        <w:t xml:space="preserve"> a stížnost zaeviduje do </w:t>
      </w:r>
      <w:r>
        <w:rPr>
          <w:rFonts w:ascii="Arial" w:eastAsia="Arial" w:hAnsi="Arial" w:cs="Arial"/>
          <w:sz w:val="22"/>
          <w:szCs w:val="22"/>
        </w:rPr>
        <w:t>evidence</w:t>
      </w:r>
      <w:r>
        <w:rPr>
          <w:rFonts w:ascii="Arial" w:eastAsia="Arial" w:hAnsi="Arial" w:cs="Arial"/>
          <w:color w:val="000000"/>
          <w:sz w:val="22"/>
          <w:szCs w:val="22"/>
        </w:rPr>
        <w:t xml:space="preserve"> stížností.</w:t>
      </w:r>
    </w:p>
    <w:p w:rsidR="00E47636" w:rsidRDefault="004C0325">
      <w:pPr>
        <w:numPr>
          <w:ilvl w:val="0"/>
          <w:numId w:val="2"/>
        </w:numPr>
        <w:pBdr>
          <w:top w:val="nil"/>
          <w:left w:val="nil"/>
          <w:bottom w:val="nil"/>
          <w:right w:val="nil"/>
          <w:between w:val="nil"/>
        </w:pBdr>
        <w:spacing w:after="120"/>
        <w:ind w:left="420"/>
        <w:jc w:val="both"/>
        <w:rPr>
          <w:sz w:val="22"/>
          <w:szCs w:val="22"/>
        </w:rPr>
      </w:pPr>
      <w:r>
        <w:rPr>
          <w:rFonts w:ascii="Arial" w:eastAsia="Arial" w:hAnsi="Arial" w:cs="Arial"/>
          <w:b/>
          <w:color w:val="000000"/>
          <w:sz w:val="22"/>
          <w:szCs w:val="22"/>
        </w:rPr>
        <w:t>anonymně – anonymní</w:t>
      </w:r>
      <w:r>
        <w:rPr>
          <w:rFonts w:ascii="Arial" w:eastAsia="Arial" w:hAnsi="Arial" w:cs="Arial"/>
          <w:color w:val="000000"/>
          <w:sz w:val="22"/>
          <w:szCs w:val="22"/>
        </w:rPr>
        <w:t xml:space="preserve"> stížnost může být vložena do Schránky stí</w:t>
      </w:r>
      <w:r>
        <w:rPr>
          <w:rFonts w:ascii="Arial" w:eastAsia="Arial" w:hAnsi="Arial" w:cs="Arial"/>
          <w:color w:val="000000"/>
          <w:sz w:val="22"/>
          <w:szCs w:val="22"/>
        </w:rPr>
        <w:t>žností, zaslána poštou nebo podána elektronickou formou (je známa příchozí emai</w:t>
      </w:r>
      <w:r>
        <w:rPr>
          <w:rFonts w:ascii="Arial" w:eastAsia="Arial" w:hAnsi="Arial" w:cs="Arial"/>
          <w:sz w:val="22"/>
          <w:szCs w:val="22"/>
        </w:rPr>
        <w:t xml:space="preserve">lová adresa, není uvedeno jméno a příjmení stěžovatele) </w:t>
      </w:r>
      <w:r>
        <w:rPr>
          <w:rFonts w:ascii="Arial" w:eastAsia="Arial" w:hAnsi="Arial" w:cs="Arial"/>
          <w:color w:val="000000"/>
          <w:sz w:val="22"/>
          <w:szCs w:val="22"/>
        </w:rPr>
        <w:t>nebo telefonicky. Podání stížnosti je zaevidováno dle výše uvedeného postupu.</w:t>
      </w:r>
    </w:p>
    <w:p w:rsidR="00E47636" w:rsidRDefault="00E47636">
      <w:pPr>
        <w:pBdr>
          <w:top w:val="nil"/>
          <w:left w:val="nil"/>
          <w:bottom w:val="nil"/>
          <w:right w:val="nil"/>
          <w:between w:val="nil"/>
        </w:pBdr>
        <w:spacing w:after="120"/>
        <w:jc w:val="both"/>
        <w:rPr>
          <w:rFonts w:ascii="Arial" w:eastAsia="Arial" w:hAnsi="Arial" w:cs="Arial"/>
          <w:color w:val="000000"/>
          <w:sz w:val="22"/>
          <w:szCs w:val="22"/>
        </w:rPr>
      </w:pPr>
      <w:bookmarkStart w:id="4" w:name="_2et92p0" w:colFirst="0" w:colLast="0"/>
      <w:bookmarkEnd w:id="4"/>
    </w:p>
    <w:p w:rsidR="00E47636" w:rsidRDefault="004C0325">
      <w:pPr>
        <w:keepNext/>
        <w:pBdr>
          <w:top w:val="nil"/>
          <w:left w:val="nil"/>
          <w:bottom w:val="nil"/>
          <w:right w:val="nil"/>
          <w:between w:val="nil"/>
        </w:pBdr>
        <w:spacing w:before="240" w:after="60"/>
        <w:rPr>
          <w:rFonts w:ascii="Arial" w:eastAsia="Arial" w:hAnsi="Arial" w:cs="Arial"/>
          <w:b/>
          <w:color w:val="000000"/>
          <w:sz w:val="28"/>
          <w:szCs w:val="28"/>
        </w:rPr>
      </w:pPr>
      <w:r>
        <w:rPr>
          <w:rFonts w:ascii="Arial" w:eastAsia="Arial" w:hAnsi="Arial" w:cs="Arial"/>
          <w:b/>
          <w:sz w:val="28"/>
          <w:szCs w:val="28"/>
        </w:rPr>
        <w:t>3</w:t>
      </w:r>
      <w:r>
        <w:rPr>
          <w:rFonts w:ascii="Arial" w:eastAsia="Arial" w:hAnsi="Arial" w:cs="Arial"/>
          <w:b/>
          <w:color w:val="000000"/>
          <w:sz w:val="28"/>
          <w:szCs w:val="28"/>
        </w:rPr>
        <w:t xml:space="preserve"> Způsob a lhůta řešení stížností</w:t>
      </w:r>
    </w:p>
    <w:p w:rsidR="00E47636" w:rsidRDefault="004C0325">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Vedoucí</w:t>
      </w:r>
      <w:r>
        <w:rPr>
          <w:rFonts w:ascii="Arial" w:eastAsia="Arial" w:hAnsi="Arial" w:cs="Arial"/>
          <w:color w:val="000000"/>
          <w:sz w:val="22"/>
          <w:szCs w:val="22"/>
        </w:rPr>
        <w:t xml:space="preserve"> střediska je povinen každé zaevidované podání v </w:t>
      </w:r>
      <w:r>
        <w:rPr>
          <w:rFonts w:ascii="Arial" w:eastAsia="Arial" w:hAnsi="Arial" w:cs="Arial"/>
          <w:sz w:val="22"/>
          <w:szCs w:val="22"/>
        </w:rPr>
        <w:t>evidenci</w:t>
      </w:r>
      <w:r>
        <w:rPr>
          <w:rFonts w:ascii="Arial" w:eastAsia="Arial" w:hAnsi="Arial" w:cs="Arial"/>
          <w:color w:val="000000"/>
          <w:sz w:val="22"/>
          <w:szCs w:val="22"/>
        </w:rPr>
        <w:t xml:space="preserve"> stížností prověřit. Postupy, které jsou užité k prověřování, musí být voleny tak, aby vedly k zjištění skutečného stavu věci, nesnižovaly důstojnost žádného z účastníků a neovlivňovaly nežádoucím zp</w:t>
      </w:r>
      <w:r>
        <w:rPr>
          <w:rFonts w:ascii="Arial" w:eastAsia="Arial" w:hAnsi="Arial" w:cs="Arial"/>
          <w:color w:val="000000"/>
          <w:sz w:val="22"/>
          <w:szCs w:val="22"/>
        </w:rPr>
        <w:t>ůsobem budoucí vztahy mezi účastníky.</w:t>
      </w:r>
    </w:p>
    <w:p w:rsidR="00E47636" w:rsidRDefault="004C0325">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Stížnost prověřuje </w:t>
      </w:r>
      <w:r>
        <w:rPr>
          <w:rFonts w:ascii="Arial" w:eastAsia="Arial" w:hAnsi="Arial" w:cs="Arial"/>
          <w:color w:val="000000"/>
          <w:sz w:val="22"/>
          <w:szCs w:val="22"/>
        </w:rPr>
        <w:t xml:space="preserve">dotazováním </w:t>
      </w:r>
      <w:r>
        <w:rPr>
          <w:rFonts w:ascii="Arial" w:eastAsia="Arial" w:hAnsi="Arial" w:cs="Arial"/>
          <w:sz w:val="22"/>
          <w:szCs w:val="22"/>
        </w:rPr>
        <w:t xml:space="preserve">zúčastněných, analýzou dokumentace klienta/služby, pozorováním, nezávislým posouzením další stranou apod. </w:t>
      </w:r>
    </w:p>
    <w:p w:rsidR="00E47636" w:rsidRDefault="00E47636">
      <w:pPr>
        <w:widowControl w:val="0"/>
        <w:pBdr>
          <w:top w:val="nil"/>
          <w:left w:val="nil"/>
          <w:bottom w:val="nil"/>
          <w:right w:val="nil"/>
          <w:between w:val="nil"/>
        </w:pBdr>
        <w:jc w:val="both"/>
        <w:rPr>
          <w:rFonts w:ascii="Arial" w:eastAsia="Arial" w:hAnsi="Arial" w:cs="Arial"/>
          <w:sz w:val="22"/>
          <w:szCs w:val="22"/>
        </w:rPr>
      </w:pPr>
    </w:p>
    <w:p w:rsidR="00E47636" w:rsidRDefault="004C0325">
      <w:pPr>
        <w:jc w:val="both"/>
        <w:rPr>
          <w:rFonts w:ascii="Arial" w:eastAsia="Arial" w:hAnsi="Arial" w:cs="Arial"/>
          <w:sz w:val="22"/>
          <w:szCs w:val="22"/>
        </w:rPr>
      </w:pPr>
      <w:r>
        <w:rPr>
          <w:rFonts w:ascii="Arial" w:eastAsia="Arial" w:hAnsi="Arial" w:cs="Arial"/>
          <w:sz w:val="22"/>
          <w:szCs w:val="22"/>
        </w:rPr>
        <w:t>Sociální služba je povinna poskytnout ministerstvu součinnost při prověření vyřízení stížnosti, když stěžovatel požádal ministerstvo o prověření vyřízení stížnosti. Pokud byla poskytovateli po prošetření uložena povinnost odstranit nevyhovující stav, ten v</w:t>
      </w:r>
      <w:r>
        <w:rPr>
          <w:rFonts w:ascii="Arial" w:eastAsia="Arial" w:hAnsi="Arial" w:cs="Arial"/>
          <w:sz w:val="22"/>
          <w:szCs w:val="22"/>
        </w:rPr>
        <w:t>e lhůtě stanovené ministerstvem odstraní a podá o tom ministerstvu písemnou zprávu.</w:t>
      </w:r>
    </w:p>
    <w:p w:rsidR="00E47636" w:rsidRDefault="00E47636">
      <w:pPr>
        <w:jc w:val="both"/>
        <w:rPr>
          <w:rFonts w:ascii="Arial" w:eastAsia="Arial" w:hAnsi="Arial" w:cs="Arial"/>
          <w:sz w:val="22"/>
          <w:szCs w:val="22"/>
        </w:rPr>
      </w:pPr>
    </w:p>
    <w:p w:rsidR="00E47636" w:rsidRDefault="004C0325">
      <w:pPr>
        <w:spacing w:line="360" w:lineRule="auto"/>
        <w:jc w:val="both"/>
        <w:rPr>
          <w:rFonts w:ascii="Arial" w:eastAsia="Arial" w:hAnsi="Arial" w:cs="Arial"/>
          <w:sz w:val="24"/>
          <w:szCs w:val="24"/>
        </w:rPr>
      </w:pPr>
      <w:r>
        <w:rPr>
          <w:rFonts w:ascii="Arial" w:eastAsia="Arial" w:hAnsi="Arial" w:cs="Arial"/>
          <w:b/>
          <w:sz w:val="24"/>
          <w:szCs w:val="24"/>
        </w:rPr>
        <w:t>Lhůty</w:t>
      </w:r>
    </w:p>
    <w:p w:rsidR="00E47636" w:rsidRDefault="004C0325">
      <w:pPr>
        <w:jc w:val="both"/>
        <w:rPr>
          <w:rFonts w:ascii="Arial" w:eastAsia="Arial" w:hAnsi="Arial" w:cs="Arial"/>
          <w:sz w:val="22"/>
          <w:szCs w:val="22"/>
        </w:rPr>
      </w:pPr>
      <w:r>
        <w:rPr>
          <w:rFonts w:ascii="Arial" w:eastAsia="Arial" w:hAnsi="Arial" w:cs="Arial"/>
          <w:sz w:val="22"/>
          <w:szCs w:val="22"/>
        </w:rPr>
        <w:t>Stížnosti se vyřizují bez zbytečných průtahů do 30 kalendářních dnů od podání stížnosti.</w:t>
      </w:r>
    </w:p>
    <w:p w:rsidR="00E47636" w:rsidRDefault="00E47636">
      <w:pPr>
        <w:jc w:val="both"/>
        <w:rPr>
          <w:rFonts w:ascii="Arial" w:eastAsia="Arial" w:hAnsi="Arial" w:cs="Arial"/>
          <w:sz w:val="22"/>
          <w:szCs w:val="22"/>
        </w:rPr>
      </w:pPr>
    </w:p>
    <w:p w:rsidR="00E47636" w:rsidRDefault="004C0325">
      <w:pPr>
        <w:spacing w:after="240"/>
        <w:jc w:val="both"/>
        <w:rPr>
          <w:rFonts w:ascii="Arial" w:eastAsia="Arial" w:hAnsi="Arial" w:cs="Arial"/>
          <w:sz w:val="22"/>
          <w:szCs w:val="22"/>
        </w:rPr>
      </w:pPr>
      <w:r>
        <w:rPr>
          <w:rFonts w:ascii="Arial" w:eastAsia="Arial" w:hAnsi="Arial" w:cs="Arial"/>
          <w:sz w:val="22"/>
          <w:szCs w:val="22"/>
        </w:rPr>
        <w:t>Lhůta může být v odůvodněných případech prodloužena o dalších 30 kalendářní</w:t>
      </w:r>
      <w:r>
        <w:rPr>
          <w:rFonts w:ascii="Arial" w:eastAsia="Arial" w:hAnsi="Arial" w:cs="Arial"/>
          <w:sz w:val="22"/>
          <w:szCs w:val="22"/>
        </w:rPr>
        <w:t xml:space="preserve">ch dnů. O prodloužení lhůty a důvodech je stěžovatel informován vedoucí střediska. V případě anonymní stížnosti je informace o prodloužení lhůty vyvěšena u Schránky stížností. </w:t>
      </w:r>
    </w:p>
    <w:p w:rsidR="00E47636" w:rsidRDefault="004C0325">
      <w:pPr>
        <w:spacing w:after="240"/>
        <w:jc w:val="both"/>
        <w:rPr>
          <w:rFonts w:ascii="Arial" w:eastAsia="Arial" w:hAnsi="Arial" w:cs="Arial"/>
          <w:sz w:val="22"/>
          <w:szCs w:val="22"/>
        </w:rPr>
      </w:pPr>
      <w:r>
        <w:rPr>
          <w:rFonts w:ascii="Arial" w:eastAsia="Arial" w:hAnsi="Arial" w:cs="Arial"/>
          <w:sz w:val="22"/>
          <w:szCs w:val="22"/>
        </w:rPr>
        <w:t>Stížnost se podává ve lhůtě 1 roku ode dne, kdy nastala skutečnost, která je př</w:t>
      </w:r>
      <w:r>
        <w:rPr>
          <w:rFonts w:ascii="Arial" w:eastAsia="Arial" w:hAnsi="Arial" w:cs="Arial"/>
          <w:sz w:val="22"/>
          <w:szCs w:val="22"/>
        </w:rPr>
        <w:t xml:space="preserve">edmětem stížnosti. </w:t>
      </w:r>
    </w:p>
    <w:p w:rsidR="00E47636" w:rsidRDefault="004C0325">
      <w:pPr>
        <w:pBdr>
          <w:top w:val="nil"/>
          <w:left w:val="nil"/>
          <w:bottom w:val="nil"/>
          <w:right w:val="nil"/>
          <w:between w:val="nil"/>
        </w:pBdr>
        <w:spacing w:after="120"/>
        <w:jc w:val="both"/>
        <w:rPr>
          <w:rFonts w:ascii="Arial" w:eastAsia="Arial" w:hAnsi="Arial" w:cs="Arial"/>
          <w:sz w:val="24"/>
          <w:szCs w:val="24"/>
        </w:rPr>
      </w:pPr>
      <w:r>
        <w:rPr>
          <w:rFonts w:ascii="Arial" w:eastAsia="Arial" w:hAnsi="Arial" w:cs="Arial"/>
          <w:b/>
          <w:sz w:val="24"/>
          <w:szCs w:val="24"/>
        </w:rPr>
        <w:t>Předání stížností</w:t>
      </w:r>
    </w:p>
    <w:p w:rsidR="00E47636" w:rsidRDefault="004C0325">
      <w:pPr>
        <w:jc w:val="both"/>
        <w:rPr>
          <w:rFonts w:ascii="Arial" w:eastAsia="Arial" w:hAnsi="Arial" w:cs="Arial"/>
          <w:sz w:val="22"/>
          <w:szCs w:val="22"/>
        </w:rPr>
      </w:pPr>
      <w:r>
        <w:rPr>
          <w:rFonts w:ascii="Arial" w:eastAsia="Arial" w:hAnsi="Arial" w:cs="Arial"/>
          <w:sz w:val="22"/>
          <w:szCs w:val="22"/>
          <w:u w:val="single"/>
        </w:rPr>
        <w:t>Osobně, ústně podaná stížnost</w:t>
      </w:r>
      <w:r>
        <w:rPr>
          <w:rFonts w:ascii="Arial" w:eastAsia="Arial" w:hAnsi="Arial" w:cs="Arial"/>
          <w:sz w:val="22"/>
          <w:szCs w:val="22"/>
        </w:rPr>
        <w:t xml:space="preserve"> - řešení stížnosti vedoucí střediska předá osobně stěžovateli (v písemné formě vždy ve Formuláři pro vyřízení stížnosti). Je předáno ve dvojím provedení, přičemž jedno vyhotovení si ponechává klient, druhé s podpisem stěžovatele se založí do šanonu stížno</w:t>
      </w:r>
      <w:r>
        <w:rPr>
          <w:rFonts w:ascii="Arial" w:eastAsia="Arial" w:hAnsi="Arial" w:cs="Arial"/>
          <w:sz w:val="22"/>
          <w:szCs w:val="22"/>
        </w:rPr>
        <w:t xml:space="preserve">stí. </w:t>
      </w:r>
    </w:p>
    <w:p w:rsidR="00E47636" w:rsidRDefault="004C0325">
      <w:pPr>
        <w:jc w:val="both"/>
        <w:rPr>
          <w:rFonts w:ascii="Arial" w:eastAsia="Arial" w:hAnsi="Arial" w:cs="Arial"/>
          <w:sz w:val="22"/>
          <w:szCs w:val="22"/>
        </w:rPr>
      </w:pPr>
      <w:r>
        <w:rPr>
          <w:rFonts w:ascii="Arial" w:eastAsia="Arial" w:hAnsi="Arial" w:cs="Arial"/>
          <w:sz w:val="22"/>
          <w:szCs w:val="22"/>
          <w:u w:val="single"/>
        </w:rPr>
        <w:t>Písemná stížnost</w:t>
      </w:r>
      <w:r>
        <w:rPr>
          <w:rFonts w:ascii="Arial" w:eastAsia="Arial" w:hAnsi="Arial" w:cs="Arial"/>
          <w:sz w:val="22"/>
          <w:szCs w:val="22"/>
        </w:rPr>
        <w:t xml:space="preserve"> - </w:t>
      </w:r>
      <w:r>
        <w:rPr>
          <w:rFonts w:ascii="Arial" w:eastAsia="Arial" w:hAnsi="Arial" w:cs="Arial"/>
          <w:sz w:val="22"/>
          <w:szCs w:val="22"/>
          <w:u w:val="single"/>
        </w:rPr>
        <w:t xml:space="preserve">anonymní </w:t>
      </w:r>
      <w:r>
        <w:rPr>
          <w:rFonts w:ascii="Arial" w:eastAsia="Arial" w:hAnsi="Arial" w:cs="Arial"/>
          <w:sz w:val="22"/>
          <w:szCs w:val="22"/>
        </w:rPr>
        <w:t>– pokud je stížnost anonymní (osoba neuvede své jméno, ani žádný kontakt na sebe), řešení stížnosti je vyvěšeno na nástěnce, která je umístěna na chodbě, před vstupem do prostor kanceláře SAS FM a to po dobu 30 kalendářníc</w:t>
      </w:r>
      <w:r>
        <w:rPr>
          <w:rFonts w:ascii="Arial" w:eastAsia="Arial" w:hAnsi="Arial" w:cs="Arial"/>
          <w:sz w:val="22"/>
          <w:szCs w:val="22"/>
        </w:rPr>
        <w:t xml:space="preserve">h dnů. </w:t>
      </w:r>
      <w:r>
        <w:rPr>
          <w:rFonts w:ascii="Arial" w:eastAsia="Arial" w:hAnsi="Arial" w:cs="Arial"/>
          <w:sz w:val="22"/>
          <w:szCs w:val="22"/>
          <w:u w:val="single"/>
        </w:rPr>
        <w:t>Neanonymní</w:t>
      </w:r>
      <w:r>
        <w:rPr>
          <w:rFonts w:ascii="Arial" w:eastAsia="Arial" w:hAnsi="Arial" w:cs="Arial"/>
          <w:sz w:val="22"/>
          <w:szCs w:val="22"/>
        </w:rPr>
        <w:t xml:space="preserve"> – písemné řešení stížnosti předá vedoucí střediska osobně stěžovateli, případně poštou. Je předáno ve dvojím provedení, přičemž jedno vyhotovení si ponechává klient, druhé s podpisem stěžovatele se založí do šanonu stížností.</w:t>
      </w:r>
    </w:p>
    <w:p w:rsidR="00E47636" w:rsidRDefault="004C0325">
      <w:pPr>
        <w:spacing w:after="120"/>
        <w:jc w:val="both"/>
        <w:rPr>
          <w:rFonts w:ascii="Arial" w:eastAsia="Arial" w:hAnsi="Arial" w:cs="Arial"/>
          <w:sz w:val="22"/>
          <w:szCs w:val="22"/>
        </w:rPr>
      </w:pPr>
      <w:r>
        <w:rPr>
          <w:rFonts w:ascii="Arial" w:eastAsia="Arial" w:hAnsi="Arial" w:cs="Arial"/>
          <w:sz w:val="22"/>
          <w:szCs w:val="22"/>
          <w:u w:val="single"/>
        </w:rPr>
        <w:t>Poštou</w:t>
      </w:r>
      <w:r>
        <w:rPr>
          <w:rFonts w:ascii="Arial" w:eastAsia="Arial" w:hAnsi="Arial" w:cs="Arial"/>
          <w:sz w:val="22"/>
          <w:szCs w:val="22"/>
        </w:rPr>
        <w:t xml:space="preserve"> – řeš</w:t>
      </w:r>
      <w:r>
        <w:rPr>
          <w:rFonts w:ascii="Arial" w:eastAsia="Arial" w:hAnsi="Arial" w:cs="Arial"/>
          <w:sz w:val="22"/>
          <w:szCs w:val="22"/>
        </w:rPr>
        <w:t>ení stížnosti se zasílá poštou na uvedenou adresu, pokud není uvedena, postupujeme jako u anonymní (viz výše).</w:t>
      </w:r>
    </w:p>
    <w:p w:rsidR="00E47636" w:rsidRDefault="004C0325">
      <w:pPr>
        <w:spacing w:after="120"/>
        <w:jc w:val="both"/>
        <w:rPr>
          <w:rFonts w:ascii="Arial" w:eastAsia="Arial" w:hAnsi="Arial" w:cs="Arial"/>
          <w:sz w:val="22"/>
          <w:szCs w:val="22"/>
        </w:rPr>
      </w:pPr>
      <w:r>
        <w:rPr>
          <w:rFonts w:ascii="Arial" w:eastAsia="Arial" w:hAnsi="Arial" w:cs="Arial"/>
          <w:sz w:val="22"/>
          <w:szCs w:val="22"/>
          <w:u w:val="single"/>
        </w:rPr>
        <w:t>Emailem</w:t>
      </w:r>
      <w:r>
        <w:rPr>
          <w:rFonts w:ascii="Arial" w:eastAsia="Arial" w:hAnsi="Arial" w:cs="Arial"/>
          <w:sz w:val="22"/>
          <w:szCs w:val="22"/>
        </w:rPr>
        <w:t xml:space="preserve"> -  řešení je odesláno zpět na mailovou adresu, ze které stížnost byla doručena.</w:t>
      </w:r>
    </w:p>
    <w:p w:rsidR="00E47636" w:rsidRDefault="004C0325">
      <w:pPr>
        <w:spacing w:after="120"/>
        <w:jc w:val="both"/>
        <w:rPr>
          <w:rFonts w:ascii="Arial" w:eastAsia="Arial" w:hAnsi="Arial" w:cs="Arial"/>
          <w:sz w:val="22"/>
          <w:szCs w:val="22"/>
        </w:rPr>
      </w:pPr>
      <w:r>
        <w:rPr>
          <w:rFonts w:ascii="Arial" w:eastAsia="Arial" w:hAnsi="Arial" w:cs="Arial"/>
          <w:sz w:val="22"/>
          <w:szCs w:val="22"/>
          <w:u w:val="single"/>
        </w:rPr>
        <w:t>Telefonicky</w:t>
      </w:r>
      <w:r>
        <w:rPr>
          <w:rFonts w:ascii="Arial" w:eastAsia="Arial" w:hAnsi="Arial" w:cs="Arial"/>
          <w:sz w:val="22"/>
          <w:szCs w:val="22"/>
        </w:rPr>
        <w:t xml:space="preserve"> – řešení stížnosti je předáno dotyčnému dle p</w:t>
      </w:r>
      <w:r>
        <w:rPr>
          <w:rFonts w:ascii="Arial" w:eastAsia="Arial" w:hAnsi="Arial" w:cs="Arial"/>
          <w:sz w:val="22"/>
          <w:szCs w:val="22"/>
        </w:rPr>
        <w:t>ředem dohodnutého způsobu předání (telefonicky, poštou, vyvěšením jako u anonymní stížnosti).</w:t>
      </w:r>
    </w:p>
    <w:p w:rsidR="00E47636" w:rsidRDefault="00E47636">
      <w:pPr>
        <w:spacing w:after="120"/>
        <w:jc w:val="both"/>
        <w:rPr>
          <w:rFonts w:ascii="Arial" w:eastAsia="Arial" w:hAnsi="Arial" w:cs="Arial"/>
          <w:sz w:val="22"/>
          <w:szCs w:val="22"/>
        </w:rPr>
      </w:pPr>
    </w:p>
    <w:p w:rsidR="00E47636" w:rsidRDefault="004C0325">
      <w:pPr>
        <w:keepNext/>
        <w:spacing w:before="240" w:after="60"/>
        <w:rPr>
          <w:rFonts w:ascii="Arial" w:eastAsia="Arial" w:hAnsi="Arial" w:cs="Arial"/>
          <w:b/>
          <w:sz w:val="28"/>
          <w:szCs w:val="28"/>
        </w:rPr>
      </w:pPr>
      <w:r>
        <w:rPr>
          <w:rFonts w:ascii="Arial" w:eastAsia="Arial" w:hAnsi="Arial" w:cs="Arial"/>
          <w:b/>
          <w:sz w:val="28"/>
          <w:szCs w:val="28"/>
        </w:rPr>
        <w:t>4 Evidence stížností</w:t>
      </w:r>
    </w:p>
    <w:p w:rsidR="00E47636" w:rsidRDefault="00E47636">
      <w:pPr>
        <w:ind w:left="357"/>
        <w:jc w:val="both"/>
        <w:rPr>
          <w:rFonts w:ascii="Arial" w:eastAsia="Arial" w:hAnsi="Arial" w:cs="Arial"/>
          <w:sz w:val="22"/>
          <w:szCs w:val="22"/>
        </w:rPr>
      </w:pPr>
    </w:p>
    <w:p w:rsidR="00E47636" w:rsidRDefault="004C0325">
      <w:pPr>
        <w:spacing w:after="120"/>
        <w:jc w:val="both"/>
        <w:rPr>
          <w:rFonts w:ascii="Arial" w:eastAsia="Arial" w:hAnsi="Arial" w:cs="Arial"/>
          <w:sz w:val="22"/>
          <w:szCs w:val="22"/>
        </w:rPr>
      </w:pPr>
      <w:r>
        <w:rPr>
          <w:rFonts w:ascii="Arial" w:eastAsia="Arial" w:hAnsi="Arial" w:cs="Arial"/>
          <w:sz w:val="22"/>
          <w:szCs w:val="22"/>
        </w:rPr>
        <w:t>Za vedení elektronické evidence stížnosti zodpovídá vedoucí střediska, stížnost zde zaeviduje každý pracovník, který stížnost přijal. Po vy</w:t>
      </w:r>
      <w:r>
        <w:rPr>
          <w:rFonts w:ascii="Arial" w:eastAsia="Arial" w:hAnsi="Arial" w:cs="Arial"/>
          <w:sz w:val="22"/>
          <w:szCs w:val="22"/>
        </w:rPr>
        <w:t>řízení stížnosti doplní údaje v evidenci vedoucí střediska.  Formulář pro podání stížností na poskytování sociální služby a Formulář pro vyřízení stížnosti jsou uloženy pod jedním evidenčním čísle v šanonu Stížnosti, který je uložen v uzamykatelné skříni v</w:t>
      </w:r>
      <w:r>
        <w:rPr>
          <w:rFonts w:ascii="Arial" w:eastAsia="Arial" w:hAnsi="Arial" w:cs="Arial"/>
          <w:sz w:val="22"/>
          <w:szCs w:val="22"/>
        </w:rPr>
        <w:t xml:space="preserve"> kanceláři služby.</w:t>
      </w:r>
    </w:p>
    <w:p w:rsidR="00E47636" w:rsidRDefault="004C0325">
      <w:pPr>
        <w:jc w:val="both"/>
        <w:rPr>
          <w:rFonts w:ascii="Arial" w:eastAsia="Arial" w:hAnsi="Arial" w:cs="Arial"/>
          <w:sz w:val="22"/>
          <w:szCs w:val="22"/>
        </w:rPr>
      </w:pPr>
      <w:r>
        <w:rPr>
          <w:rFonts w:ascii="Arial" w:eastAsia="Arial" w:hAnsi="Arial" w:cs="Arial"/>
          <w:sz w:val="22"/>
          <w:szCs w:val="22"/>
        </w:rPr>
        <w:t xml:space="preserve">Stěžovateli je umožněno na jeho žádost nahlédnutí do dokumentace, která je vedena o jeho stížnosti (Formulář pro podání stížnosti na poskytování sociální služby a Formulář pro vyřízení stížností), dle potřeby obdrží její kopii. </w:t>
      </w:r>
    </w:p>
    <w:p w:rsidR="00E47636" w:rsidRDefault="00E47636">
      <w:pPr>
        <w:pBdr>
          <w:top w:val="nil"/>
          <w:left w:val="nil"/>
          <w:bottom w:val="nil"/>
          <w:right w:val="nil"/>
          <w:between w:val="nil"/>
        </w:pBdr>
        <w:spacing w:after="120"/>
        <w:jc w:val="both"/>
        <w:rPr>
          <w:rFonts w:ascii="Arial" w:eastAsia="Arial" w:hAnsi="Arial" w:cs="Arial"/>
          <w:sz w:val="22"/>
          <w:szCs w:val="22"/>
        </w:rPr>
      </w:pPr>
      <w:bookmarkStart w:id="5" w:name="_tyjcwt" w:colFirst="0" w:colLast="0"/>
      <w:bookmarkEnd w:id="5"/>
    </w:p>
    <w:p w:rsidR="00E47636" w:rsidRDefault="004C0325">
      <w:pPr>
        <w:keepNext/>
        <w:pBdr>
          <w:top w:val="nil"/>
          <w:left w:val="nil"/>
          <w:bottom w:val="nil"/>
          <w:right w:val="nil"/>
          <w:between w:val="nil"/>
        </w:pBdr>
        <w:spacing w:before="240" w:after="60"/>
        <w:rPr>
          <w:rFonts w:ascii="Arial" w:eastAsia="Arial" w:hAnsi="Arial" w:cs="Arial"/>
          <w:b/>
          <w:color w:val="000000"/>
          <w:sz w:val="28"/>
          <w:szCs w:val="28"/>
        </w:rPr>
      </w:pPr>
      <w:r>
        <w:rPr>
          <w:rFonts w:ascii="Arial" w:eastAsia="Arial" w:hAnsi="Arial" w:cs="Arial"/>
          <w:b/>
          <w:color w:val="000000"/>
          <w:sz w:val="28"/>
          <w:szCs w:val="28"/>
        </w:rPr>
        <w:t>5 Postupy pro odvolání při nespokojenosti stěžovatele s vyřešením stížností</w:t>
      </w:r>
    </w:p>
    <w:p w:rsidR="00E47636" w:rsidRDefault="004C0325">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xml:space="preserve">V případě nesouhlasu stěžovatele s vyřízením stížnosti nebo v případě, kdy stížnost nebyla vyřízena ve stanovené lhůtě, je možné </w:t>
      </w:r>
      <w:r>
        <w:rPr>
          <w:rFonts w:ascii="Arial" w:eastAsia="Arial" w:hAnsi="Arial" w:cs="Arial"/>
          <w:color w:val="222222"/>
          <w:sz w:val="22"/>
          <w:szCs w:val="22"/>
        </w:rPr>
        <w:t>ve lhůtě 60 dnů od předání vyřízené stížnosti nebo od uplynutí stanovené lhůty požádat MPSV o prověření vyřízení této stížnosti:</w:t>
      </w:r>
    </w:p>
    <w:p w:rsidR="00E47636" w:rsidRDefault="00E47636">
      <w:pPr>
        <w:shd w:val="clear" w:color="auto" w:fill="FFFFFF"/>
        <w:spacing w:line="276" w:lineRule="auto"/>
        <w:jc w:val="both"/>
        <w:rPr>
          <w:rFonts w:ascii="Arial" w:eastAsia="Arial" w:hAnsi="Arial" w:cs="Arial"/>
          <w:sz w:val="22"/>
          <w:szCs w:val="22"/>
        </w:rPr>
      </w:pPr>
    </w:p>
    <w:p w:rsidR="00E47636" w:rsidRDefault="004C0325">
      <w:pPr>
        <w:shd w:val="clear" w:color="auto" w:fill="FFFFFF"/>
        <w:spacing w:line="276" w:lineRule="auto"/>
        <w:jc w:val="both"/>
        <w:rPr>
          <w:rFonts w:ascii="Arial" w:eastAsia="Arial" w:hAnsi="Arial" w:cs="Arial"/>
          <w:sz w:val="22"/>
          <w:szCs w:val="22"/>
        </w:rPr>
      </w:pPr>
      <w:r>
        <w:rPr>
          <w:rFonts w:ascii="Arial" w:eastAsia="Arial" w:hAnsi="Arial" w:cs="Arial"/>
          <w:sz w:val="22"/>
          <w:szCs w:val="22"/>
        </w:rPr>
        <w:t>Ministerstvo práce a sociálních věcí</w:t>
      </w:r>
    </w:p>
    <w:p w:rsidR="00E47636" w:rsidRDefault="004C0325">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Na Poříčním právu 1/376 128 01 Praha 2</w:t>
      </w:r>
    </w:p>
    <w:p w:rsidR="00E47636" w:rsidRDefault="004C0325">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xml:space="preserve">- tel: 950 191 111, e-mail: </w:t>
      </w:r>
      <w:hyperlink r:id="rId9">
        <w:r>
          <w:rPr>
            <w:rFonts w:ascii="Arial" w:eastAsia="Arial" w:hAnsi="Arial" w:cs="Arial"/>
            <w:color w:val="1155CC"/>
            <w:sz w:val="22"/>
            <w:szCs w:val="22"/>
            <w:u w:val="single"/>
          </w:rPr>
          <w:t>posta@mpsv.cz</w:t>
        </w:r>
      </w:hyperlink>
    </w:p>
    <w:p w:rsidR="00E47636" w:rsidRDefault="00E47636">
      <w:pPr>
        <w:shd w:val="clear" w:color="auto" w:fill="FFFFFF"/>
        <w:spacing w:line="276" w:lineRule="auto"/>
        <w:jc w:val="both"/>
        <w:rPr>
          <w:rFonts w:ascii="Arial" w:eastAsia="Arial" w:hAnsi="Arial" w:cs="Arial"/>
          <w:sz w:val="22"/>
          <w:szCs w:val="22"/>
        </w:rPr>
      </w:pPr>
    </w:p>
    <w:p w:rsidR="00E47636" w:rsidRDefault="00E47636">
      <w:pPr>
        <w:shd w:val="clear" w:color="auto" w:fill="FFFFFF"/>
        <w:spacing w:line="276" w:lineRule="auto"/>
        <w:jc w:val="both"/>
        <w:rPr>
          <w:rFonts w:ascii="Arial" w:eastAsia="Arial" w:hAnsi="Arial" w:cs="Arial"/>
          <w:sz w:val="22"/>
          <w:szCs w:val="22"/>
        </w:rPr>
      </w:pPr>
    </w:p>
    <w:p w:rsidR="00E47636" w:rsidRDefault="004C0325">
      <w:pPr>
        <w:spacing w:line="360" w:lineRule="auto"/>
        <w:jc w:val="both"/>
        <w:rPr>
          <w:rFonts w:ascii="Arial" w:eastAsia="Arial" w:hAnsi="Arial" w:cs="Arial"/>
          <w:sz w:val="28"/>
          <w:szCs w:val="28"/>
        </w:rPr>
      </w:pPr>
      <w:r>
        <w:rPr>
          <w:rFonts w:ascii="Arial" w:eastAsia="Arial" w:hAnsi="Arial" w:cs="Arial"/>
          <w:b/>
          <w:sz w:val="28"/>
          <w:szCs w:val="28"/>
        </w:rPr>
        <w:t>6 Seznámení klientů, pracovníků s podáním a řešením stížností</w:t>
      </w:r>
    </w:p>
    <w:p w:rsidR="00E47636" w:rsidRDefault="004C0325">
      <w:pPr>
        <w:jc w:val="both"/>
        <w:rPr>
          <w:rFonts w:ascii="Arial" w:eastAsia="Arial" w:hAnsi="Arial" w:cs="Arial"/>
          <w:sz w:val="22"/>
          <w:szCs w:val="22"/>
        </w:rPr>
      </w:pPr>
      <w:r>
        <w:rPr>
          <w:rFonts w:ascii="Arial" w:eastAsia="Arial" w:hAnsi="Arial" w:cs="Arial"/>
          <w:sz w:val="22"/>
          <w:szCs w:val="22"/>
        </w:rPr>
        <w:t xml:space="preserve">Klienti služby jsou se způsobem podávání a vyřizování stížností seznámeni v rámci procesu jednání se zájemce a uzavírání smlouvy. </w:t>
      </w:r>
    </w:p>
    <w:p w:rsidR="00E47636" w:rsidRDefault="004C0325">
      <w:pPr>
        <w:jc w:val="both"/>
        <w:rPr>
          <w:rFonts w:ascii="Arial" w:eastAsia="Arial" w:hAnsi="Arial" w:cs="Arial"/>
          <w:sz w:val="22"/>
          <w:szCs w:val="22"/>
        </w:rPr>
      </w:pPr>
      <w:r>
        <w:rPr>
          <w:rFonts w:ascii="Arial" w:eastAsia="Arial" w:hAnsi="Arial" w:cs="Arial"/>
          <w:sz w:val="22"/>
          <w:szCs w:val="22"/>
        </w:rPr>
        <w:t>Informace o podání stížnost</w:t>
      </w:r>
      <w:r>
        <w:rPr>
          <w:rFonts w:ascii="Arial" w:eastAsia="Arial" w:hAnsi="Arial" w:cs="Arial"/>
          <w:sz w:val="22"/>
          <w:szCs w:val="22"/>
        </w:rPr>
        <w:t xml:space="preserve">í je rovněž vyvěšena u Schránky stížností, na webové stránce služby je k dispozici tento metodický pokyn. </w:t>
      </w:r>
    </w:p>
    <w:p w:rsidR="00E47636" w:rsidRDefault="004C0325">
      <w:pPr>
        <w:jc w:val="both"/>
        <w:rPr>
          <w:rFonts w:ascii="Arial" w:eastAsia="Arial" w:hAnsi="Arial" w:cs="Arial"/>
          <w:sz w:val="22"/>
          <w:szCs w:val="22"/>
        </w:rPr>
      </w:pPr>
      <w:r>
        <w:rPr>
          <w:rFonts w:ascii="Arial" w:eastAsia="Arial" w:hAnsi="Arial" w:cs="Arial"/>
          <w:sz w:val="22"/>
          <w:szCs w:val="22"/>
        </w:rPr>
        <w:t>V průběhu poskytování služby je jim tato možnost připomínána. Rovněž při aktualizaci postupů p</w:t>
      </w:r>
      <w:r w:rsidR="00565952">
        <w:rPr>
          <w:rFonts w:ascii="Arial" w:eastAsia="Arial" w:hAnsi="Arial" w:cs="Arial"/>
          <w:sz w:val="22"/>
          <w:szCs w:val="22"/>
        </w:rPr>
        <w:t>ro podání a vyřízení stížností,</w:t>
      </w:r>
      <w:r>
        <w:rPr>
          <w:rFonts w:ascii="Arial" w:eastAsia="Arial" w:hAnsi="Arial" w:cs="Arial"/>
          <w:sz w:val="22"/>
          <w:szCs w:val="22"/>
        </w:rPr>
        <w:t xml:space="preserve"> jsou klienti o tomto i</w:t>
      </w:r>
      <w:r>
        <w:rPr>
          <w:rFonts w:ascii="Arial" w:eastAsia="Arial" w:hAnsi="Arial" w:cs="Arial"/>
          <w:sz w:val="22"/>
          <w:szCs w:val="22"/>
        </w:rPr>
        <w:t xml:space="preserve">nformováni. </w:t>
      </w:r>
    </w:p>
    <w:p w:rsidR="00E47636" w:rsidRDefault="004C0325">
      <w:pPr>
        <w:jc w:val="both"/>
        <w:rPr>
          <w:rFonts w:ascii="Arial" w:eastAsia="Arial" w:hAnsi="Arial" w:cs="Arial"/>
          <w:sz w:val="22"/>
          <w:szCs w:val="22"/>
        </w:rPr>
      </w:pPr>
      <w:r>
        <w:rPr>
          <w:rFonts w:ascii="Arial" w:eastAsia="Arial" w:hAnsi="Arial" w:cs="Arial"/>
          <w:sz w:val="22"/>
          <w:szCs w:val="22"/>
        </w:rPr>
        <w:t>Nově přijatý pracovník je prokazatelně seznámen s tímto metodickým pokynem v době zácviku a následně jsou všichni pracovníci prokazatelně seznámeni s každou aktualizací.</w:t>
      </w:r>
    </w:p>
    <w:p w:rsidR="00E47636" w:rsidRDefault="00E47636">
      <w:pPr>
        <w:jc w:val="both"/>
        <w:rPr>
          <w:rFonts w:ascii="Arial" w:eastAsia="Arial" w:hAnsi="Arial" w:cs="Arial"/>
          <w:sz w:val="22"/>
          <w:szCs w:val="22"/>
        </w:rPr>
      </w:pPr>
    </w:p>
    <w:p w:rsidR="00E47636" w:rsidRDefault="004C0325">
      <w:pPr>
        <w:jc w:val="both"/>
        <w:rPr>
          <w:rFonts w:ascii="Arial" w:eastAsia="Arial" w:hAnsi="Arial" w:cs="Arial"/>
          <w:b/>
          <w:color w:val="000000"/>
          <w:sz w:val="22"/>
          <w:szCs w:val="22"/>
        </w:rPr>
      </w:pPr>
      <w:r>
        <w:rPr>
          <w:rFonts w:ascii="Arial" w:eastAsia="Arial" w:hAnsi="Arial" w:cs="Arial"/>
          <w:b/>
          <w:color w:val="000000"/>
          <w:sz w:val="22"/>
          <w:szCs w:val="22"/>
        </w:rPr>
        <w:t>Seznam příloh</w:t>
      </w:r>
    </w:p>
    <w:p w:rsidR="00E47636" w:rsidRDefault="00E47636">
      <w:pPr>
        <w:pBdr>
          <w:top w:val="nil"/>
          <w:left w:val="nil"/>
          <w:bottom w:val="nil"/>
          <w:right w:val="nil"/>
          <w:between w:val="nil"/>
        </w:pBdr>
        <w:tabs>
          <w:tab w:val="left" w:pos="360"/>
        </w:tabs>
        <w:spacing w:before="120"/>
        <w:jc w:val="both"/>
        <w:rPr>
          <w:rFonts w:ascii="Arial" w:eastAsia="Arial" w:hAnsi="Arial" w:cs="Arial"/>
          <w:b/>
          <w:color w:val="000000"/>
          <w:sz w:val="22"/>
          <w:szCs w:val="22"/>
        </w:rPr>
      </w:pPr>
    </w:p>
    <w:p w:rsidR="00E47636" w:rsidRDefault="004C0325">
      <w:pPr>
        <w:pBdr>
          <w:top w:val="nil"/>
          <w:left w:val="nil"/>
          <w:bottom w:val="nil"/>
          <w:right w:val="nil"/>
          <w:between w:val="nil"/>
        </w:pBdr>
        <w:tabs>
          <w:tab w:val="left" w:pos="1920"/>
        </w:tabs>
        <w:rPr>
          <w:rFonts w:ascii="Arial" w:eastAsia="Arial" w:hAnsi="Arial" w:cs="Arial"/>
          <w:color w:val="000000"/>
          <w:sz w:val="22"/>
          <w:szCs w:val="22"/>
        </w:rPr>
      </w:pPr>
      <w:r>
        <w:rPr>
          <w:rFonts w:ascii="Arial" w:eastAsia="Arial" w:hAnsi="Arial" w:cs="Arial"/>
          <w:color w:val="000000"/>
          <w:sz w:val="22"/>
          <w:szCs w:val="22"/>
        </w:rPr>
        <w:t xml:space="preserve">Příloha č. 1: Formulář pro podání stížnosti na poskytování sociální služby  </w:t>
      </w:r>
    </w:p>
    <w:p w:rsidR="00E47636" w:rsidRDefault="004C0325">
      <w:pPr>
        <w:pBdr>
          <w:top w:val="nil"/>
          <w:left w:val="nil"/>
          <w:bottom w:val="nil"/>
          <w:right w:val="nil"/>
          <w:between w:val="nil"/>
        </w:pBdr>
        <w:tabs>
          <w:tab w:val="left" w:pos="360"/>
        </w:tabs>
        <w:spacing w:before="120"/>
        <w:jc w:val="both"/>
        <w:rPr>
          <w:rFonts w:ascii="Arial" w:eastAsia="Arial" w:hAnsi="Arial" w:cs="Arial"/>
          <w:color w:val="000000"/>
          <w:sz w:val="22"/>
          <w:szCs w:val="22"/>
        </w:rPr>
      </w:pPr>
      <w:r>
        <w:rPr>
          <w:rFonts w:ascii="Arial" w:eastAsia="Arial" w:hAnsi="Arial" w:cs="Arial"/>
          <w:color w:val="000000"/>
          <w:sz w:val="22"/>
          <w:szCs w:val="22"/>
        </w:rPr>
        <w:t>Příloha č. 2: Formulář pro vyřízení stížnosti</w:t>
      </w:r>
    </w:p>
    <w:p w:rsidR="00E47636" w:rsidRDefault="004C0325">
      <w:pPr>
        <w:pBdr>
          <w:top w:val="nil"/>
          <w:left w:val="nil"/>
          <w:bottom w:val="nil"/>
          <w:right w:val="nil"/>
          <w:between w:val="nil"/>
        </w:pBdr>
        <w:tabs>
          <w:tab w:val="left" w:pos="360"/>
        </w:tabs>
        <w:spacing w:before="120"/>
        <w:jc w:val="both"/>
        <w:rPr>
          <w:rFonts w:ascii="Arial" w:eastAsia="Arial" w:hAnsi="Arial" w:cs="Arial"/>
          <w:color w:val="000000"/>
          <w:sz w:val="22"/>
          <w:szCs w:val="22"/>
        </w:rPr>
      </w:pPr>
      <w:r>
        <w:rPr>
          <w:rFonts w:ascii="Arial" w:eastAsia="Arial" w:hAnsi="Arial" w:cs="Arial"/>
          <w:color w:val="000000"/>
          <w:sz w:val="22"/>
          <w:szCs w:val="22"/>
        </w:rPr>
        <w:t>Příloha č. 3: Evidence stížností</w:t>
      </w:r>
    </w:p>
    <w:p w:rsidR="00E47636" w:rsidRDefault="00E47636">
      <w:pPr>
        <w:spacing w:after="120"/>
        <w:jc w:val="both"/>
        <w:rPr>
          <w:rFonts w:ascii="Times New Roman" w:eastAsia="Times New Roman" w:hAnsi="Times New Roman" w:cs="Times New Roman"/>
          <w:color w:val="000000"/>
          <w:sz w:val="24"/>
          <w:szCs w:val="24"/>
        </w:rPr>
      </w:pPr>
      <w:bookmarkStart w:id="6" w:name="_GoBack"/>
      <w:bookmarkEnd w:id="6"/>
    </w:p>
    <w:sectPr w:rsidR="00E47636">
      <w:footerReference w:type="even"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325" w:rsidRDefault="004C0325">
      <w:r>
        <w:separator/>
      </w:r>
    </w:p>
  </w:endnote>
  <w:endnote w:type="continuationSeparator" w:id="0">
    <w:p w:rsidR="004C0325" w:rsidRDefault="004C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636" w:rsidRDefault="004C0325">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E47636" w:rsidRDefault="00E47636">
    <w:pPr>
      <w:pBdr>
        <w:top w:val="nil"/>
        <w:left w:val="nil"/>
        <w:bottom w:val="nil"/>
        <w:right w:val="nil"/>
        <w:between w:val="nil"/>
      </w:pBdr>
      <w:tabs>
        <w:tab w:val="center" w:pos="4536"/>
        <w:tab w:val="right" w:pos="9072"/>
      </w:tabs>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636" w:rsidRDefault="004C0325">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2D2DAB">
      <w:rPr>
        <w:rFonts w:ascii="Times New Roman" w:eastAsia="Times New Roman" w:hAnsi="Times New Roman" w:cs="Times New Roman"/>
        <w:color w:val="000000"/>
        <w:sz w:val="24"/>
        <w:szCs w:val="24"/>
      </w:rPr>
      <w:fldChar w:fldCharType="separate"/>
    </w:r>
    <w:r w:rsidR="00565952">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p>
  <w:p w:rsidR="00E47636" w:rsidRDefault="00E47636">
    <w:pPr>
      <w:pBdr>
        <w:top w:val="nil"/>
        <w:left w:val="nil"/>
        <w:bottom w:val="nil"/>
        <w:right w:val="nil"/>
        <w:between w:val="nil"/>
      </w:pBdr>
      <w:tabs>
        <w:tab w:val="center" w:pos="4536"/>
        <w:tab w:val="right" w:pos="9072"/>
      </w:tabs>
      <w:ind w:right="360"/>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325" w:rsidRDefault="004C0325">
      <w:r>
        <w:separator/>
      </w:r>
    </w:p>
  </w:footnote>
  <w:footnote w:type="continuationSeparator" w:id="0">
    <w:p w:rsidR="004C0325" w:rsidRDefault="004C0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84382"/>
    <w:multiLevelType w:val="multilevel"/>
    <w:tmpl w:val="2EAE1114"/>
    <w:lvl w:ilvl="0">
      <w:start w:val="1"/>
      <w:numFmt w:val="decimal"/>
      <w:lvlText w:val="%1."/>
      <w:lvlJc w:val="left"/>
      <w:pPr>
        <w:ind w:left="720" w:hanging="360"/>
      </w:pPr>
      <w:rPr>
        <w:rFonts w:ascii="Arial" w:eastAsia="Arial" w:hAnsi="Arial" w:cs="Arial"/>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47272F8"/>
    <w:multiLevelType w:val="multilevel"/>
    <w:tmpl w:val="C400B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36"/>
    <w:rsid w:val="002D2DAB"/>
    <w:rsid w:val="004C0325"/>
    <w:rsid w:val="00565952"/>
    <w:rsid w:val="00E47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662A1-B58C-44EF-9FF8-9B62406E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sta@mps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1457</Words>
  <Characters>8599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2025-03-17T10:11:00Z</dcterms:created>
  <dcterms:modified xsi:type="dcterms:W3CDTF">2025-03-17T10:13:00Z</dcterms:modified>
</cp:coreProperties>
</file>