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317E" w:rsidRDefault="0008223A">
      <w:pPr>
        <w:rPr>
          <w:b/>
        </w:rPr>
      </w:pPr>
      <w:r>
        <w:rPr>
          <w:noProof/>
        </w:rPr>
        <w:drawing>
          <wp:inline distT="0" distB="0" distL="0" distR="0">
            <wp:extent cx="3594100" cy="488950"/>
            <wp:effectExtent l="0" t="0" r="0" b="0"/>
            <wp:docPr id="4" name="image1.png" descr="logo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S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4210050</wp:posOffset>
            </wp:positionH>
            <wp:positionV relativeFrom="paragraph">
              <wp:posOffset>114300</wp:posOffset>
            </wp:positionV>
            <wp:extent cx="2143125" cy="443547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3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317E" w:rsidRDefault="00E2317E"/>
    <w:p w:rsidR="00E2317E" w:rsidRDefault="00E2317E">
      <w:pPr>
        <w:tabs>
          <w:tab w:val="left" w:pos="7371"/>
        </w:tabs>
        <w:rPr>
          <w:rFonts w:ascii="Arial" w:eastAsia="Arial" w:hAnsi="Arial" w:cs="Arial"/>
          <w:b/>
          <w:sz w:val="28"/>
          <w:szCs w:val="28"/>
        </w:rPr>
      </w:pPr>
    </w:p>
    <w:p w:rsidR="00E2317E" w:rsidRDefault="0008223A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  <w:highlight w:val="lightGray"/>
        </w:rPr>
        <w:t>Stížnosti na poskytování služby v Poradně ELPIS</w:t>
      </w:r>
    </w:p>
    <w:p w:rsidR="00E2317E" w:rsidRDefault="00E2317E">
      <w:pPr>
        <w:spacing w:line="276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Obsah:</w:t>
      </w:r>
    </w:p>
    <w:p w:rsidR="00E2317E" w:rsidRDefault="0008223A">
      <w:pPr>
        <w:numPr>
          <w:ilvl w:val="0"/>
          <w:numId w:val="2"/>
        </w:numPr>
        <w:spacing w:line="36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Účel</w:t>
      </w:r>
    </w:p>
    <w:p w:rsidR="00E2317E" w:rsidRDefault="0008223A">
      <w:pPr>
        <w:numPr>
          <w:ilvl w:val="0"/>
          <w:numId w:val="2"/>
        </w:numPr>
        <w:spacing w:line="36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Rozdělení stížnosti</w:t>
      </w:r>
    </w:p>
    <w:p w:rsidR="00E2317E" w:rsidRDefault="0008223A">
      <w:pPr>
        <w:numPr>
          <w:ilvl w:val="0"/>
          <w:numId w:val="2"/>
        </w:numPr>
        <w:spacing w:line="36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Způsob podání stížností</w:t>
      </w:r>
    </w:p>
    <w:p w:rsidR="00E2317E" w:rsidRDefault="0008223A">
      <w:pPr>
        <w:numPr>
          <w:ilvl w:val="0"/>
          <w:numId w:val="2"/>
        </w:numPr>
        <w:spacing w:line="36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Řešení stížností</w:t>
      </w:r>
    </w:p>
    <w:p w:rsidR="00E2317E" w:rsidRDefault="0008223A">
      <w:pPr>
        <w:numPr>
          <w:ilvl w:val="0"/>
          <w:numId w:val="2"/>
        </w:numPr>
        <w:spacing w:line="36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Odpověď na stížnost</w:t>
      </w:r>
    </w:p>
    <w:p w:rsidR="00E2317E" w:rsidRDefault="0008223A">
      <w:pPr>
        <w:numPr>
          <w:ilvl w:val="0"/>
          <w:numId w:val="2"/>
        </w:numPr>
        <w:spacing w:line="36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Evidence stížností</w:t>
      </w:r>
    </w:p>
    <w:p w:rsidR="00E2317E" w:rsidRDefault="0008223A">
      <w:pPr>
        <w:numPr>
          <w:ilvl w:val="0"/>
          <w:numId w:val="2"/>
        </w:numPr>
        <w:spacing w:line="360" w:lineRule="auto"/>
        <w:ind w:hanging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Anonymní stížnosti</w:t>
      </w:r>
    </w:p>
    <w:p w:rsidR="00E2317E" w:rsidRDefault="00E2317E">
      <w:pPr>
        <w:spacing w:line="360" w:lineRule="auto"/>
        <w:ind w:left="720"/>
        <w:jc w:val="both"/>
        <w:rPr>
          <w:rFonts w:ascii="Arial Narrow" w:eastAsia="Arial Narrow" w:hAnsi="Arial Narrow" w:cs="Arial Narrow"/>
        </w:rPr>
      </w:pPr>
    </w:p>
    <w:p w:rsidR="006948B8" w:rsidRDefault="006948B8">
      <w:pPr>
        <w:spacing w:line="360" w:lineRule="auto"/>
        <w:ind w:left="720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highlight w:val="lightGray"/>
        </w:rPr>
        <w:t>1. Účel</w:t>
      </w:r>
    </w:p>
    <w:p w:rsidR="00E2317E" w:rsidRDefault="00E2317E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Každý</w:t>
      </w:r>
      <w:r>
        <w:rPr>
          <w:rFonts w:ascii="Arial Narrow" w:eastAsia="Arial Narrow" w:hAnsi="Arial Narrow" w:cs="Arial Narrow"/>
        </w:rPr>
        <w:t xml:space="preserve"> zájemce o službu, klient, jeho zástupce i nepřímí uživatelé poradny ELPIS Bruntál mají </w:t>
      </w:r>
      <w:r>
        <w:rPr>
          <w:rFonts w:ascii="Arial Narrow" w:eastAsia="Arial Narrow" w:hAnsi="Arial Narrow" w:cs="Arial Narrow"/>
          <w:b/>
        </w:rPr>
        <w:t>právo podat podnět, připomínku nebo stížnost na kvalitu nebo způsob poskytování služby</w:t>
      </w:r>
      <w:r>
        <w:rPr>
          <w:rFonts w:ascii="Arial Narrow" w:eastAsia="Arial Narrow" w:hAnsi="Arial Narrow" w:cs="Arial Narrow"/>
        </w:rPr>
        <w:t>.</w:t>
      </w:r>
    </w:p>
    <w:p w:rsidR="00E2317E" w:rsidRDefault="0008223A">
      <w:pPr>
        <w:spacing w:before="280" w:after="28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 úvodním rozhovoru je zájemci/klientovi vysvětleno, jak postupovat v případě po</w:t>
      </w:r>
      <w:r>
        <w:rPr>
          <w:rFonts w:ascii="Arial Narrow" w:eastAsia="Arial Narrow" w:hAnsi="Arial Narrow" w:cs="Arial Narrow"/>
        </w:rPr>
        <w:t>dání stížnosti, dále je mu předán formulář postupu při vyřizování stížností a připomínek (příloha č.1). Tento formulář je volně přístupný před poradnou v Bruntále i Dívčím Hradě a je také součástí informačního balíčku pro klienta.</w:t>
      </w:r>
    </w:p>
    <w:p w:rsidR="00E2317E" w:rsidRDefault="0008223A">
      <w:pPr>
        <w:spacing w:before="280" w:after="28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Každý podnět, připomínka </w:t>
      </w:r>
      <w:r>
        <w:rPr>
          <w:rFonts w:ascii="Arial Narrow" w:eastAsia="Arial Narrow" w:hAnsi="Arial Narrow" w:cs="Arial Narrow"/>
        </w:rPr>
        <w:t>či stížnost je pojímána pozitivně a měla by vést ke zlepšení a zkvalitnění práce.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highlight w:val="lightGray"/>
        </w:rPr>
        <w:t>2. Rozdělení stížností podle závažnosti sdělení</w:t>
      </w:r>
    </w:p>
    <w:p w:rsidR="00E2317E" w:rsidRDefault="00E2317E">
      <w:pPr>
        <w:spacing w:line="360" w:lineRule="auto"/>
        <w:ind w:left="284" w:hanging="284"/>
        <w:jc w:val="both"/>
        <w:rPr>
          <w:rFonts w:ascii="Arial Narrow" w:eastAsia="Arial Narrow" w:hAnsi="Arial Narrow" w:cs="Arial Narrow"/>
          <w:u w:val="single"/>
        </w:rPr>
      </w:pPr>
    </w:p>
    <w:p w:rsidR="00E2317E" w:rsidRDefault="0008223A">
      <w:pPr>
        <w:spacing w:line="360" w:lineRule="auto"/>
        <w:ind w:left="284" w:hanging="284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Podnět (přání)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Podnětem je projevený názor ke zkvalitnění a zlepšení služby.</w:t>
      </w:r>
    </w:p>
    <w:p w:rsidR="00E2317E" w:rsidRDefault="00E2317E">
      <w:pPr>
        <w:spacing w:line="360" w:lineRule="auto"/>
        <w:ind w:left="360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Připomínka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Jedná se zejména o upozornění na urč</w:t>
      </w:r>
      <w:r>
        <w:rPr>
          <w:rFonts w:ascii="Arial Narrow" w:eastAsia="Arial Narrow" w:hAnsi="Arial Narrow" w:cs="Arial Narrow"/>
        </w:rPr>
        <w:t>itý nedostatek, věcnou kritiku k průběhu a podmínkám služby.</w:t>
      </w:r>
    </w:p>
    <w:p w:rsidR="00E2317E" w:rsidRDefault="00E2317E">
      <w:pPr>
        <w:spacing w:line="360" w:lineRule="auto"/>
        <w:ind w:left="397"/>
        <w:jc w:val="both"/>
        <w:rPr>
          <w:rFonts w:ascii="Arial Narrow" w:eastAsia="Arial Narrow" w:hAnsi="Arial Narrow" w:cs="Arial Narrow"/>
          <w:color w:val="99CC00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Stížnost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Jedná se o závažné pochybení ze strany pracovníků, které snižuje kvalitu poskytované sociální služby. 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Jedná se o vyjádřenou nespokojenost zájemce o službu, klienta, anebo jeho zástupce</w:t>
      </w:r>
      <w:r>
        <w:rPr>
          <w:rFonts w:ascii="Arial Narrow" w:eastAsia="Arial Narrow" w:hAnsi="Arial Narrow" w:cs="Arial Narrow"/>
        </w:rPr>
        <w:t xml:space="preserve"> s kvalitou a způsobem poskytování sociální služby, která si vyžaduje prošetření.</w:t>
      </w:r>
    </w:p>
    <w:p w:rsidR="00E2317E" w:rsidRDefault="00E2317E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highlight w:val="lightGray"/>
        </w:rPr>
        <w:t>3. Způsob podávání stížností</w:t>
      </w:r>
    </w:p>
    <w:p w:rsidR="00E2317E" w:rsidRDefault="00E2317E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u w:val="single"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Kdo může podat stížnost</w:t>
      </w:r>
    </w:p>
    <w:p w:rsidR="00E2317E" w:rsidRDefault="0008223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44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Stížnost může podat každý zájemce, klient, pracovník nebo jiná osoba (stěžovatel). Každý klient má možnost stěžovat si samostatně, případně z</w:t>
      </w:r>
      <w:r>
        <w:rPr>
          <w:rFonts w:ascii="Arial Narrow" w:eastAsia="Arial Narrow" w:hAnsi="Arial Narrow" w:cs="Arial Narrow"/>
        </w:rPr>
        <w:t>mocnit k podání stížnosti jinou osobu.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:rsidR="00E2317E" w:rsidRDefault="0008223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44"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Stížnost se podává poskytovateli sociálních služeb, proti které směřuje, a to ve lhůtě 1 roku ode dne, kdy nastala skutečnost, která je předmětem stížnosti. Podání stížnosti nesmí být stěžovateli, nebo osobě, které je nebo byla poskytována sociální služba,</w:t>
      </w:r>
      <w:r>
        <w:rPr>
          <w:rFonts w:ascii="Arial Narrow" w:eastAsia="Arial Narrow" w:hAnsi="Arial Narrow" w:cs="Arial Narrow"/>
        </w:rPr>
        <w:t xml:space="preserve"> jíž se stížnost týká, a které není zároveň stěžovatelem, na újmu.</w:t>
      </w: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u w:val="single"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Kontakty pro podávání stížností: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Sociální služba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Poradna ELPIS, odborné sociální poradenství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Zahradní 1, Bruntál, 792 01 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Dívčí Hrad č. 62, Osoblaha 793 99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Bc. Klára Maková, koordinátor st</w:t>
      </w:r>
      <w:r>
        <w:rPr>
          <w:rFonts w:ascii="Arial Narrow" w:eastAsia="Arial Narrow" w:hAnsi="Arial Narrow" w:cs="Arial Narrow"/>
        </w:rPr>
        <w:t>řediska, tel.: 734 518 846, e-mail:</w:t>
      </w:r>
      <w:hyperlink r:id="rId10">
        <w:r>
          <w:rPr>
            <w:rFonts w:ascii="Arial Narrow" w:eastAsia="Arial Narrow" w:hAnsi="Arial Narrow" w:cs="Arial Narrow"/>
            <w:color w:val="1155CC"/>
            <w:u w:val="single"/>
          </w:rPr>
          <w:t>elpis.br@slezskadiakonie.cz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Vedoucí oblasti Bruntál, Krnov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Hlubčická</w:t>
      </w:r>
      <w:proofErr w:type="spellEnd"/>
      <w:r>
        <w:rPr>
          <w:rFonts w:ascii="Arial Narrow" w:eastAsia="Arial Narrow" w:hAnsi="Arial Narrow" w:cs="Arial Narrow"/>
        </w:rPr>
        <w:t xml:space="preserve"> 10, 794 01 Krnov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Ing. Ludmila Vajdová, vedoucí oblasti Bruntál, Krnov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tel.: 605 864 669, e-mail</w:t>
      </w:r>
      <w:r>
        <w:rPr>
          <w:rFonts w:ascii="Arial Narrow" w:eastAsia="Arial Narrow" w:hAnsi="Arial Narrow" w:cs="Arial Narrow"/>
        </w:rPr>
        <w:t xml:space="preserve">: </w:t>
      </w:r>
      <w:hyperlink r:id="rId11">
        <w:r>
          <w:rPr>
            <w:rFonts w:ascii="Arial Narrow" w:eastAsia="Arial Narrow" w:hAnsi="Arial Narrow" w:cs="Arial Narrow"/>
            <w:color w:val="1155CC"/>
            <w:u w:val="single"/>
          </w:rPr>
          <w:t>l.vajdova@slezskadiakonie.cz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E2317E" w:rsidRDefault="00E2317E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2F5496"/>
          <w:sz w:val="20"/>
          <w:szCs w:val="20"/>
        </w:rPr>
      </w:pP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Slezská diakonie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Na Nivách 7/259, 737 01 Český Těšín 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lastRenderedPageBreak/>
        <w:t>Vedení Slezské diakonie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Mgr. Zuzana </w:t>
      </w:r>
      <w:proofErr w:type="spellStart"/>
      <w:r>
        <w:rPr>
          <w:rFonts w:ascii="Arial Narrow" w:eastAsia="Arial Narrow" w:hAnsi="Arial Narrow" w:cs="Arial Narrow"/>
        </w:rPr>
        <w:t>Filipková</w:t>
      </w:r>
      <w:proofErr w:type="spellEnd"/>
      <w:r>
        <w:rPr>
          <w:rFonts w:ascii="Arial Narrow" w:eastAsia="Arial Narrow" w:hAnsi="Arial Narrow" w:cs="Arial Narrow"/>
        </w:rPr>
        <w:t xml:space="preserve">, Ph.D., ředitelka 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tel. 730 166 120, e-mail: </w:t>
      </w:r>
      <w:r>
        <w:rPr>
          <w:rFonts w:ascii="Arial Narrow" w:eastAsia="Arial Narrow" w:hAnsi="Arial Narrow" w:cs="Arial Narrow"/>
          <w:color w:val="1155CC"/>
        </w:rPr>
        <w:t>ustredi@slezskadiakonie.cz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Mgr. Ing. Romana </w:t>
      </w:r>
      <w:proofErr w:type="spellStart"/>
      <w:r>
        <w:rPr>
          <w:rFonts w:ascii="Arial Narrow" w:eastAsia="Arial Narrow" w:hAnsi="Arial Narrow" w:cs="Arial Narrow"/>
        </w:rPr>
        <w:t>Bélová</w:t>
      </w:r>
      <w:proofErr w:type="spellEnd"/>
      <w:r>
        <w:rPr>
          <w:rFonts w:ascii="Arial Narrow" w:eastAsia="Arial Narrow" w:hAnsi="Arial Narrow" w:cs="Arial Narrow"/>
        </w:rPr>
        <w:t>, náměstkyně ředitelky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color w:val="1155CC"/>
        </w:rPr>
      </w:pPr>
      <w:r>
        <w:rPr>
          <w:rFonts w:ascii="Arial Narrow" w:eastAsia="Arial Narrow" w:hAnsi="Arial Narrow" w:cs="Arial Narrow"/>
        </w:rPr>
        <w:t xml:space="preserve"> tel: 731 199 480, e-mail: </w:t>
      </w:r>
      <w:r>
        <w:rPr>
          <w:rFonts w:ascii="Arial Narrow" w:eastAsia="Arial Narrow" w:hAnsi="Arial Narrow" w:cs="Arial Narrow"/>
          <w:color w:val="1155CC"/>
        </w:rPr>
        <w:t>r.belova@slezskadiakonie.cz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Další možnosti podání stížnosti: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Zřizovatel Slezské diakonie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Slezská církev evangelická </w:t>
      </w:r>
      <w:proofErr w:type="spellStart"/>
      <w:r>
        <w:rPr>
          <w:rFonts w:ascii="Arial Narrow" w:eastAsia="Arial Narrow" w:hAnsi="Arial Narrow" w:cs="Arial Narrow"/>
        </w:rPr>
        <w:t>a.v</w:t>
      </w:r>
      <w:proofErr w:type="spellEnd"/>
      <w:r>
        <w:rPr>
          <w:rFonts w:ascii="Arial Narrow" w:eastAsia="Arial Narrow" w:hAnsi="Arial Narrow" w:cs="Arial Narrow"/>
        </w:rPr>
        <w:t>.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Nivách 7/259, 737 01 Český Těš</w:t>
      </w:r>
      <w:r>
        <w:rPr>
          <w:rFonts w:ascii="Arial Narrow" w:eastAsia="Arial Narrow" w:hAnsi="Arial Narrow" w:cs="Arial Narrow"/>
        </w:rPr>
        <w:t>ín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</w:rPr>
        <w:t xml:space="preserve">tel: 558 764 380, e-mail: </w:t>
      </w:r>
      <w:r>
        <w:rPr>
          <w:rFonts w:ascii="Arial Narrow" w:eastAsia="Arial Narrow" w:hAnsi="Arial Narrow" w:cs="Arial Narrow"/>
          <w:color w:val="1155CC"/>
        </w:rPr>
        <w:t>sekretariat@sceav.cz</w:t>
      </w:r>
      <w:r>
        <w:rPr>
          <w:rFonts w:ascii="Arial Narrow" w:eastAsia="Arial Narrow" w:hAnsi="Arial Narrow" w:cs="Arial Narrow"/>
        </w:rPr>
        <w:t xml:space="preserve"> 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Kancelář veřejného ochránce práv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Údolní 658, 602 00 Brno-střed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</w:rPr>
        <w:t xml:space="preserve">tel: 542 542 888, e-mail: </w:t>
      </w:r>
      <w:r>
        <w:rPr>
          <w:rFonts w:ascii="Arial Narrow" w:eastAsia="Arial Narrow" w:hAnsi="Arial Narrow" w:cs="Arial Narrow"/>
          <w:color w:val="1155CC"/>
        </w:rPr>
        <w:t>podatelna@ochrance.cz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 případě nesouhlasu stěžovatele s vyřízením stížnosti nebo v případě, kdy stížnost nebyla vyř</w:t>
      </w:r>
      <w:r>
        <w:rPr>
          <w:rFonts w:ascii="Arial Narrow" w:eastAsia="Arial Narrow" w:hAnsi="Arial Narrow" w:cs="Arial Narrow"/>
        </w:rPr>
        <w:t xml:space="preserve">ízena ve stanovené lhůtě je možno požádat Ministerstvo práce a sociálních věcí ČR o prověření vyřízení této stížnosti na: 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Ministerstvo práce a sociálních věcí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Poříčním právu 1/376 128 01 Praha 2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  <w:color w:val="1155CC"/>
        </w:rPr>
      </w:pPr>
      <w:r>
        <w:rPr>
          <w:rFonts w:ascii="Arial Narrow" w:eastAsia="Arial Narrow" w:hAnsi="Arial Narrow" w:cs="Arial Narrow"/>
        </w:rPr>
        <w:t xml:space="preserve">tel: 950 191 111, e-mail: </w:t>
      </w:r>
      <w:r>
        <w:rPr>
          <w:rFonts w:ascii="Arial Narrow" w:eastAsia="Arial Narrow" w:hAnsi="Arial Narrow" w:cs="Arial Narrow"/>
          <w:color w:val="1155CC"/>
        </w:rPr>
        <w:t>posta@mpsv.cz</w:t>
      </w:r>
    </w:p>
    <w:p w:rsidR="00E2317E" w:rsidRDefault="0008223A">
      <w:pPr>
        <w:spacing w:before="24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u w:val="single"/>
        </w:rPr>
        <w:t xml:space="preserve"> 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Stížnost může </w:t>
      </w:r>
      <w:r>
        <w:rPr>
          <w:rFonts w:ascii="Arial Narrow" w:eastAsia="Arial Narrow" w:hAnsi="Arial Narrow" w:cs="Arial Narrow"/>
        </w:rPr>
        <w:t xml:space="preserve">přijmout kterýkoliv pracovník Poradny ELPIS či pracovník jiné služby. Pracovník, který stížnost přijal je povinen ji předat nejdéle do 3 pracovních dnů kompetentní </w:t>
      </w:r>
      <w:proofErr w:type="gramStart"/>
      <w:r>
        <w:rPr>
          <w:rFonts w:ascii="Arial Narrow" w:eastAsia="Arial Narrow" w:hAnsi="Arial Narrow" w:cs="Arial Narrow"/>
        </w:rPr>
        <w:t>osobě.(</w:t>
      </w:r>
      <w:proofErr w:type="gramEnd"/>
      <w:r>
        <w:rPr>
          <w:rFonts w:ascii="Arial Narrow" w:eastAsia="Arial Narrow" w:hAnsi="Arial Narrow" w:cs="Arial Narrow"/>
        </w:rPr>
        <w:t>tj. koordinátor střediska, vedoucí oblasti, ředitelka SD). Stížnost mohou přijmout ta</w:t>
      </w:r>
      <w:r>
        <w:rPr>
          <w:rFonts w:ascii="Arial Narrow" w:eastAsia="Arial Narrow" w:hAnsi="Arial Narrow" w:cs="Arial Narrow"/>
        </w:rPr>
        <w:t>ké výše zmíněné subjekty.</w:t>
      </w:r>
    </w:p>
    <w:p w:rsidR="00E2317E" w:rsidRDefault="00E2317E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u w:val="single"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Jakou formou může být stížnost podána</w:t>
      </w:r>
    </w:p>
    <w:p w:rsidR="00E2317E" w:rsidRDefault="0008223A">
      <w:pPr>
        <w:numPr>
          <w:ilvl w:val="0"/>
          <w:numId w:val="3"/>
        </w:num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Ústně</w:t>
      </w:r>
    </w:p>
    <w:p w:rsidR="00E2317E" w:rsidRDefault="0008223A">
      <w:pPr>
        <w:numPr>
          <w:ilvl w:val="0"/>
          <w:numId w:val="3"/>
        </w:num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Telefonicky</w:t>
      </w:r>
    </w:p>
    <w:p w:rsidR="00E2317E" w:rsidRDefault="0008223A">
      <w:pPr>
        <w:numPr>
          <w:ilvl w:val="0"/>
          <w:numId w:val="3"/>
        </w:num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Písemně – dopis, e-mail, schránka stížností</w:t>
      </w: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Při ústní stížnosti</w:t>
      </w:r>
      <w:r>
        <w:rPr>
          <w:rFonts w:ascii="Arial Narrow" w:eastAsia="Arial Narrow" w:hAnsi="Arial Narrow" w:cs="Arial Narrow"/>
        </w:rPr>
        <w:t xml:space="preserve"> učiní pracovník poradny o stížnosti písemný záznam do formuláře postupu při vyřizování stížností ve spolupráci s klientem. Pracovník klade při záznamu ústní stížnosti důraz na obsah jeho sdělení, vše zapíše pracovník přesně dle jeho slov, může být použita</w:t>
      </w:r>
      <w:r>
        <w:rPr>
          <w:rFonts w:ascii="Arial Narrow" w:eastAsia="Arial Narrow" w:hAnsi="Arial Narrow" w:cs="Arial Narrow"/>
        </w:rPr>
        <w:t xml:space="preserve"> i přímá řeč. </w:t>
      </w:r>
    </w:p>
    <w:p w:rsidR="00E2317E" w:rsidRDefault="00E2317E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Telefonickou stížnost</w:t>
      </w:r>
      <w:r>
        <w:rPr>
          <w:rFonts w:ascii="Arial Narrow" w:eastAsia="Arial Narrow" w:hAnsi="Arial Narrow" w:cs="Arial Narrow"/>
        </w:rPr>
        <w:t xml:space="preserve"> lze podat na mobilní telefon koordinátorovi střediska, vedoucí oblasti či dále na ústředí Slezské diakonie a výše zmíněných kontaktech. Dále postupuje pracovník stejně jako při ústní stížnosti.</w:t>
      </w:r>
    </w:p>
    <w:p w:rsidR="00E2317E" w:rsidRDefault="00E2317E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Písemnou stížnost</w:t>
      </w:r>
      <w:r>
        <w:rPr>
          <w:rFonts w:ascii="Arial Narrow" w:eastAsia="Arial Narrow" w:hAnsi="Arial Narrow" w:cs="Arial Narrow"/>
        </w:rPr>
        <w:t xml:space="preserve"> může stěžovatel buď:</w:t>
      </w:r>
    </w:p>
    <w:p w:rsidR="00E2317E" w:rsidRDefault="0008223A">
      <w:pPr>
        <w:numPr>
          <w:ilvl w:val="0"/>
          <w:numId w:val="1"/>
        </w:num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předat pracovníkovi poradny</w:t>
      </w:r>
    </w:p>
    <w:p w:rsidR="00E2317E" w:rsidRDefault="0008223A">
      <w:pPr>
        <w:numPr>
          <w:ilvl w:val="0"/>
          <w:numId w:val="1"/>
        </w:num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vhodit do schránky stížností před hlavním vchodem do poradny. Schránka je viditelně označena. Výběr schránky provádí sociální pracovník zpravidla každý pátek. O výběru provede zápis do přiloženého formuláře</w:t>
      </w:r>
      <w:r>
        <w:rPr>
          <w:rFonts w:ascii="Arial Narrow" w:eastAsia="Arial Narrow" w:hAnsi="Arial Narrow" w:cs="Arial Narrow"/>
        </w:rPr>
        <w:t xml:space="preserve"> (Příloha č.2).</w:t>
      </w:r>
    </w:p>
    <w:p w:rsidR="00E2317E" w:rsidRDefault="0008223A">
      <w:pPr>
        <w:numPr>
          <w:ilvl w:val="0"/>
          <w:numId w:val="1"/>
        </w:num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zaslat na e-mail </w:t>
      </w:r>
      <w:hyperlink r:id="rId12">
        <w:r>
          <w:rPr>
            <w:rFonts w:ascii="Arial Narrow" w:eastAsia="Arial Narrow" w:hAnsi="Arial Narrow" w:cs="Arial Narrow"/>
            <w:color w:val="0000FF"/>
            <w:u w:val="single"/>
          </w:rPr>
          <w:t>elpis.br@slezskadiakonie.cz</w:t>
        </w:r>
      </w:hyperlink>
      <w:r>
        <w:rPr>
          <w:rFonts w:ascii="Arial Narrow" w:eastAsia="Arial Narrow" w:hAnsi="Arial Narrow" w:cs="Arial Narrow"/>
        </w:rPr>
        <w:t xml:space="preserve"> </w:t>
      </w:r>
    </w:p>
    <w:p w:rsidR="00E2317E" w:rsidRDefault="0008223A">
      <w:pPr>
        <w:numPr>
          <w:ilvl w:val="0"/>
          <w:numId w:val="1"/>
        </w:num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zaslat poštou na adresu: Poradna ELPI</w:t>
      </w:r>
      <w:r w:rsidR="006948B8">
        <w:rPr>
          <w:rFonts w:ascii="Arial Narrow" w:eastAsia="Arial Narrow" w:hAnsi="Arial Narrow" w:cs="Arial Narrow"/>
        </w:rPr>
        <w:t>S</w:t>
      </w:r>
      <w:bookmarkStart w:id="0" w:name="_GoBack"/>
      <w:bookmarkEnd w:id="0"/>
      <w:r>
        <w:rPr>
          <w:rFonts w:ascii="Arial Narrow" w:eastAsia="Arial Narrow" w:hAnsi="Arial Narrow" w:cs="Arial Narrow"/>
        </w:rPr>
        <w:t>, odborné sociální poradenství, Zahradní 1, Bruntál, 792 01 nebo na další výše zmíněné kontakty.</w:t>
      </w:r>
    </w:p>
    <w:p w:rsidR="00E2317E" w:rsidRDefault="00E2317E">
      <w:pPr>
        <w:spacing w:line="360" w:lineRule="auto"/>
        <w:ind w:left="960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Stí</w:t>
      </w:r>
      <w:r>
        <w:rPr>
          <w:rFonts w:ascii="Arial Narrow" w:eastAsia="Arial Narrow" w:hAnsi="Arial Narrow" w:cs="Arial Narrow"/>
        </w:rPr>
        <w:t>žnost může být dále podána i anonymně (viz. bod 7)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Písemnou stížnost může klient vepsat do předem připraveného formuláře, který je k dispozici na nástěnce před poradnou, nebo má možnost zvolit „volnou“ formu stížnosti.</w:t>
      </w: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highlight w:val="lightGray"/>
        </w:rPr>
        <w:t>4. Řešení stížností</w:t>
      </w:r>
    </w:p>
    <w:p w:rsidR="00E2317E" w:rsidRDefault="00E2317E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b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Kdo řeší stížnost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Stížnosti ve středisku ELPIS Bruntál řeší koordinátor střediska. V případě, že daná stížnost přesahuje jeho kompetence, předává stížnost následovně:</w:t>
      </w: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</w:t>
      </w:r>
    </w:p>
    <w:p w:rsidR="00E2317E" w:rsidRDefault="0008223A">
      <w:pPr>
        <w:spacing w:line="360" w:lineRule="auto"/>
        <w:ind w:left="397" w:hanging="3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a) v případě, že je stížnost podána na pracovníka jiného střediska, řeší koordiná</w:t>
      </w:r>
      <w:r>
        <w:rPr>
          <w:rFonts w:ascii="Arial Narrow" w:eastAsia="Arial Narrow" w:hAnsi="Arial Narrow" w:cs="Arial Narrow"/>
        </w:rPr>
        <w:t>tor tuto stížnost ve spolupráci s vedoucím pracovníkem daného střediska.</w:t>
      </w: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       b) v případě stížnosti na koordinátora střediska, tento ji předá vedoucímu oblasti Bruntál-Krnov.</w:t>
      </w: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c) v případě stížnosti na vedoucího oblasti ji předá řediteli SD.</w:t>
      </w: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08223A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4. </w:t>
      </w:r>
      <w:r>
        <w:rPr>
          <w:rFonts w:ascii="Arial Narrow" w:eastAsia="Arial Narrow" w:hAnsi="Arial Narrow" w:cs="Arial Narrow"/>
          <w:b/>
        </w:rPr>
        <w:t>2. Způsob prošetřování stížností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V rámci prošetření stížnosti jedná výše zmíněný pracovník s těmi osobami, kterých se stížnost bezprostředně týká. 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základě získaných informací pověřený pracovník rozhodne, zda stížnost shledal oprávněnou, a v případě odů</w:t>
      </w:r>
      <w:r>
        <w:rPr>
          <w:rFonts w:ascii="Arial Narrow" w:eastAsia="Arial Narrow" w:hAnsi="Arial Narrow" w:cs="Arial Narrow"/>
        </w:rPr>
        <w:t>vodněné stížnosti stanoví opatření nutná k nápravě situace a zajistí, že se stěžovateli omluvu od toho, kdo jej poškodil. V případě ukončení pracovního poměru zaměstnance, který toto způsobil, se poškozené straně osobně omlouvá koordinátor střediska.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To vš</w:t>
      </w:r>
      <w:r>
        <w:rPr>
          <w:rFonts w:ascii="Arial Narrow" w:eastAsia="Arial Narrow" w:hAnsi="Arial Narrow" w:cs="Arial Narrow"/>
        </w:rPr>
        <w:t>e zaznamená písemně, společně s termínem případné nápravy a s informací o právu stěžovatele podat proti tomuto rozhodnutí odvolání.</w:t>
      </w: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highlight w:val="lightGray"/>
        </w:rPr>
        <w:t>5. Odpověď na stížnost</w:t>
      </w: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     </w:t>
      </w:r>
      <w:r>
        <w:rPr>
          <w:rFonts w:ascii="Arial Narrow" w:eastAsia="Arial Narrow" w:hAnsi="Arial Narrow" w:cs="Arial Narrow"/>
        </w:rPr>
        <w:t>Poskytovatel sociálních služeb je povinen vyřídit stížnost do 30 dnů ode dne, kdy mu byla doručena. Tuto lhůtu může poskytovatel sociálních služeb v odůvodněných případech prodloužit o dalších 30 dnů; o prodloužení lhůty a důvodech její prodloužení je povi</w:t>
      </w:r>
      <w:r>
        <w:rPr>
          <w:rFonts w:ascii="Arial Narrow" w:eastAsia="Arial Narrow" w:hAnsi="Arial Narrow" w:cs="Arial Narrow"/>
        </w:rPr>
        <w:t>nen informovat stě</w:t>
      </w:r>
      <w:r w:rsidR="006948B8"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>ovatele.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Poskytovatel je povinen písemně informovat stěžovatele o způsobu vyřízení stížnosti, vést písemnou evidenci o podaných stížnostech a způsobu jejich vyřízení a umožnit stěžovateli nahlížet do dokumentace, kterou vede o stížnosti,</w:t>
      </w:r>
      <w:r>
        <w:rPr>
          <w:rFonts w:ascii="Arial Narrow" w:eastAsia="Arial Narrow" w:hAnsi="Arial Narrow" w:cs="Arial Narrow"/>
        </w:rPr>
        <w:t xml:space="preserve"> a pořizovat z ní kopie nebo výpisy.)</w:t>
      </w:r>
    </w:p>
    <w:p w:rsidR="00E2317E" w:rsidRDefault="00E2317E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Nesouhlasí-li stěžovatel s vyřízením stížnosti</w:t>
      </w:r>
      <w:r>
        <w:rPr>
          <w:rFonts w:ascii="Arial Narrow" w:eastAsia="Arial Narrow" w:hAnsi="Arial Narrow" w:cs="Arial Narrow"/>
        </w:rPr>
        <w:t xml:space="preserve"> nebo nebyla-li stížnost vyřízena ve stanovené lhůtě, může ve lhůtě 60 dnů ode dne doručení informace o způsobu jejího vyřízení nebo do uplynutí stanovené lhůty požádat m</w:t>
      </w:r>
      <w:r>
        <w:rPr>
          <w:rFonts w:ascii="Arial Narrow" w:eastAsia="Arial Narrow" w:hAnsi="Arial Narrow" w:cs="Arial Narrow"/>
        </w:rPr>
        <w:t>inisterstvo o prověření vyřízení této stížnosti; v žádosti uvede důvod, proč žádá o prověření vyřízení stížnosti.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Ministerstvo prověří vyřízení stížnosti do 60 dnů ode dne, kdy mu byla žádost doručena, nebo 90 dnů ode dne, kdy mu byla žádost doručena, jest</w:t>
      </w:r>
      <w:r>
        <w:rPr>
          <w:rFonts w:ascii="Arial Narrow" w:eastAsia="Arial Narrow" w:hAnsi="Arial Narrow" w:cs="Arial Narrow"/>
        </w:rPr>
        <w:t>liže je třeba vyžádat si vyjádření orgánů veřejné správy nebo další relevantních osob.</w:t>
      </w:r>
    </w:p>
    <w:p w:rsidR="00E2317E" w:rsidRDefault="00E2317E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highlight w:val="lightGray"/>
        </w:rPr>
        <w:lastRenderedPageBreak/>
        <w:t>6. Evidence stížností</w:t>
      </w:r>
    </w:p>
    <w:p w:rsidR="00E2317E" w:rsidRDefault="0008223A" w:rsidP="006948B8">
      <w:pPr>
        <w:spacing w:line="360" w:lineRule="auto"/>
        <w:ind w:firstLine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Všechny stížnosti</w:t>
      </w:r>
      <w:r>
        <w:rPr>
          <w:rFonts w:ascii="Arial Narrow" w:eastAsia="Arial Narrow" w:hAnsi="Arial Narrow" w:cs="Arial Narrow"/>
        </w:rPr>
        <w:t xml:space="preserve"> včetně jejich vyřízení, eviduje koordinátor střediska ve složce stížností, která je uložena v šanonu Kvalita ELPIS.</w:t>
      </w:r>
    </w:p>
    <w:p w:rsidR="00E2317E" w:rsidRDefault="00E2317E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highlight w:val="lightGray"/>
        </w:rPr>
        <w:t>7. Anonymní stížnosti</w:t>
      </w:r>
    </w:p>
    <w:p w:rsidR="00E2317E" w:rsidRDefault="0008223A">
      <w:pPr>
        <w:spacing w:line="360" w:lineRule="auto"/>
        <w:ind w:firstLine="284"/>
        <w:jc w:val="both"/>
        <w:rPr>
          <w:rFonts w:ascii="Arial Narrow" w:eastAsia="Arial Narrow" w:hAnsi="Arial Narrow" w:cs="Arial Narrow"/>
          <w:color w:val="99CC00"/>
        </w:rPr>
      </w:pPr>
      <w:r>
        <w:rPr>
          <w:rFonts w:ascii="Arial Narrow" w:eastAsia="Arial Narrow" w:hAnsi="Arial Narrow" w:cs="Arial Narrow"/>
        </w:rPr>
        <w:t>Stížnost může být podána také anonymně. Pro tyto případy je možné využít již zmíněn</w:t>
      </w:r>
      <w:r>
        <w:rPr>
          <w:rFonts w:ascii="Arial Narrow" w:eastAsia="Arial Narrow" w:hAnsi="Arial Narrow" w:cs="Arial Narrow"/>
        </w:rPr>
        <w:t>ou schránku, která je v Bruntále umístěna před hlavním vchodem do budovy, kde se poradna nachází.  V Dívčím Hradě je schránka taktéž umístěna před hlavním vchodem do budovy, kde se nachází poradna. Výběr schránky provádí v Bruntále koordinátor střediska, a</w:t>
      </w:r>
      <w:r>
        <w:rPr>
          <w:rFonts w:ascii="Arial Narrow" w:eastAsia="Arial Narrow" w:hAnsi="Arial Narrow" w:cs="Arial Narrow"/>
        </w:rPr>
        <w:t xml:space="preserve"> to zpravidla v pátek V Dívčím Hradě provádí výběr schránky sociální </w:t>
      </w:r>
      <w:proofErr w:type="gramStart"/>
      <w:r>
        <w:rPr>
          <w:rFonts w:ascii="Arial Narrow" w:eastAsia="Arial Narrow" w:hAnsi="Arial Narrow" w:cs="Arial Narrow"/>
        </w:rPr>
        <w:t>pracovník</w:t>
      </w:r>
      <w:proofErr w:type="gramEnd"/>
      <w:r>
        <w:rPr>
          <w:rFonts w:ascii="Arial Narrow" w:eastAsia="Arial Narrow" w:hAnsi="Arial Narrow" w:cs="Arial Narrow"/>
        </w:rPr>
        <w:t xml:space="preserve"> a to zpravidla ve čtvrtek. O výběru schránky provede koordinátor střediska zápis do formuláře </w:t>
      </w:r>
      <w:r>
        <w:rPr>
          <w:rFonts w:ascii="Arial Narrow" w:eastAsia="Arial Narrow" w:hAnsi="Arial Narrow" w:cs="Arial Narrow"/>
          <w:b/>
        </w:rPr>
        <w:t>zápis o provedené kontrole schránky na stížnosti</w:t>
      </w:r>
      <w:r>
        <w:rPr>
          <w:rFonts w:ascii="Arial Narrow" w:eastAsia="Arial Narrow" w:hAnsi="Arial Narrow" w:cs="Arial Narrow"/>
        </w:rPr>
        <w:t>, tento podepíše. V Dívčím Hradě tu</w:t>
      </w:r>
      <w:r>
        <w:rPr>
          <w:rFonts w:ascii="Arial Narrow" w:eastAsia="Arial Narrow" w:hAnsi="Arial Narrow" w:cs="Arial Narrow"/>
        </w:rPr>
        <w:t>to kontrolu provádí sociální pracovník a postup je totožný.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Při řešení anonymním stížnosti se postupuje podle stejných pravidel, pouze vyjádření ke stížnosti není doručeno přímo stěžovateli. </w:t>
      </w:r>
      <w:r>
        <w:rPr>
          <w:rFonts w:ascii="Arial Narrow" w:eastAsia="Arial Narrow" w:hAnsi="Arial Narrow" w:cs="Arial Narrow"/>
          <w:color w:val="000000"/>
        </w:rPr>
        <w:t>Výsledek šetření je vyvěšen po dobu 14 dní na nástěnce umístěné n</w:t>
      </w:r>
      <w:r>
        <w:rPr>
          <w:rFonts w:ascii="Arial Narrow" w:eastAsia="Arial Narrow" w:hAnsi="Arial Narrow" w:cs="Arial Narrow"/>
          <w:color w:val="000000"/>
        </w:rPr>
        <w:t xml:space="preserve">a chodbě vedle dveří do kanceláře. </w:t>
      </w:r>
    </w:p>
    <w:p w:rsidR="00E2317E" w:rsidRDefault="0008223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Vyvěšení a následné stažení z nástěnky zajistí v Bruntále koordinátor střediska, v Dívčím Hradě sociální pracovník.</w:t>
      </w:r>
    </w:p>
    <w:p w:rsidR="00E2317E" w:rsidRDefault="00E2317E">
      <w:pPr>
        <w:spacing w:line="360" w:lineRule="auto"/>
        <w:ind w:left="397" w:hanging="397"/>
        <w:jc w:val="both"/>
        <w:rPr>
          <w:rFonts w:ascii="Arial Narrow" w:eastAsia="Arial Narrow" w:hAnsi="Arial Narrow" w:cs="Arial Narrow"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p w:rsidR="00E2317E" w:rsidRDefault="00E2317E">
      <w:pPr>
        <w:spacing w:line="360" w:lineRule="auto"/>
        <w:jc w:val="both"/>
        <w:rPr>
          <w:rFonts w:ascii="Arial Narrow" w:eastAsia="Arial Narrow" w:hAnsi="Arial Narrow" w:cs="Arial Narrow"/>
          <w:b/>
        </w:rPr>
      </w:pPr>
    </w:p>
    <w:sectPr w:rsidR="00E2317E">
      <w:footerReference w:type="default" r:id="rId13"/>
      <w:pgSz w:w="11905" w:h="16837"/>
      <w:pgMar w:top="899" w:right="1417" w:bottom="1079" w:left="1417" w:header="1798" w:footer="1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23A" w:rsidRDefault="0008223A">
      <w:r>
        <w:separator/>
      </w:r>
    </w:p>
  </w:endnote>
  <w:endnote w:type="continuationSeparator" w:id="0">
    <w:p w:rsidR="0008223A" w:rsidRDefault="0008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17E" w:rsidRDefault="00E231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9184" w:type="dxa"/>
      <w:tblInd w:w="-67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736"/>
      <w:gridCol w:w="1248"/>
      <w:gridCol w:w="3200"/>
    </w:tblGrid>
    <w:tr w:rsidR="00E2317E">
      <w:tc>
        <w:tcPr>
          <w:tcW w:w="4736" w:type="dxa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  <w:vAlign w:val="center"/>
        </w:tcPr>
        <w:p w:rsidR="00E2317E" w:rsidRDefault="0008223A">
          <w:pPr>
            <w:ind w:left="-67"/>
          </w:pPr>
          <w:r>
            <w:t>Poradna ELPIS</w:t>
          </w:r>
        </w:p>
      </w:tc>
      <w:tc>
        <w:tcPr>
          <w:tcW w:w="1248" w:type="dxa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</w:tcPr>
        <w:p w:rsidR="00E2317E" w:rsidRDefault="0008223A">
          <w:pPr>
            <w:spacing w:before="120" w:after="120"/>
            <w:jc w:val="center"/>
          </w:pPr>
          <w:r>
            <w:fldChar w:fldCharType="begin"/>
          </w:r>
          <w:r>
            <w:instrText>PAGE</w:instrText>
          </w:r>
          <w:r w:rsidR="006948B8">
            <w:fldChar w:fldCharType="separate"/>
          </w:r>
          <w:r w:rsidR="006948B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6948B8">
            <w:t>6</w:t>
          </w:r>
        </w:p>
      </w:tc>
      <w:tc>
        <w:tcPr>
          <w:tcW w:w="3200" w:type="dxa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</w:tcPr>
        <w:p w:rsidR="00E2317E" w:rsidRDefault="0008223A">
          <w:pPr>
            <w:spacing w:before="120" w:after="120"/>
            <w:jc w:val="right"/>
          </w:pPr>
          <w:r>
            <w:t>63-07</w:t>
          </w:r>
          <w:proofErr w:type="gramStart"/>
          <w:r>
            <w:t>a,b</w:t>
          </w:r>
          <w:proofErr w:type="gramEnd"/>
          <w:r>
            <w:t>,c,d</w:t>
          </w:r>
        </w:p>
      </w:tc>
    </w:tr>
  </w:tbl>
  <w:p w:rsidR="00E2317E" w:rsidRDefault="00E231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23A" w:rsidRDefault="0008223A">
      <w:r>
        <w:separator/>
      </w:r>
    </w:p>
  </w:footnote>
  <w:footnote w:type="continuationSeparator" w:id="0">
    <w:p w:rsidR="0008223A" w:rsidRDefault="0008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A20"/>
    <w:multiLevelType w:val="multilevel"/>
    <w:tmpl w:val="32B0176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9B08DB"/>
    <w:multiLevelType w:val="multilevel"/>
    <w:tmpl w:val="DA382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70007C44"/>
    <w:multiLevelType w:val="multilevel"/>
    <w:tmpl w:val="2ECA493C"/>
    <w:lvl w:ilvl="0">
      <w:start w:val="1"/>
      <w:numFmt w:val="decimal"/>
      <w:pStyle w:val="ZZ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3E34DA"/>
    <w:multiLevelType w:val="multilevel"/>
    <w:tmpl w:val="ABF0BCFE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7E"/>
    <w:rsid w:val="0008223A"/>
    <w:rsid w:val="006948B8"/>
    <w:rsid w:val="00E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4C32"/>
  <w15:docId w15:val="{90BAEDE0-4218-49CC-BB25-0A697E9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1FD"/>
  </w:style>
  <w:style w:type="paragraph" w:styleId="Nadpis1">
    <w:name w:val="heading 1"/>
    <w:basedOn w:val="Normln"/>
    <w:next w:val="Normln"/>
    <w:link w:val="Nadpis1Char"/>
    <w:uiPriority w:val="9"/>
    <w:qFormat/>
    <w:rsid w:val="00C0701C"/>
    <w:pPr>
      <w:keepNext/>
      <w:tabs>
        <w:tab w:val="center" w:pos="7088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3E1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0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975C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Zhlav">
    <w:name w:val="header"/>
    <w:basedOn w:val="Normln"/>
    <w:rsid w:val="00720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01F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E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45C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5C78"/>
    <w:pPr>
      <w:ind w:left="720"/>
      <w:contextualSpacing/>
    </w:pPr>
  </w:style>
  <w:style w:type="character" w:styleId="Odkaznakoment">
    <w:name w:val="annotation reference"/>
    <w:uiPriority w:val="99"/>
    <w:unhideWhenUsed/>
    <w:rsid w:val="00406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67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67CD"/>
    <w:rPr>
      <w:rFonts w:ascii="Calibri" w:eastAsia="Calibri" w:hAnsi="Calibri"/>
      <w:lang w:eastAsia="en-US"/>
    </w:rPr>
  </w:style>
  <w:style w:type="paragraph" w:styleId="Normlnweb">
    <w:name w:val="Normal (Web)"/>
    <w:basedOn w:val="Normln"/>
    <w:unhideWhenUsed/>
    <w:rsid w:val="004067C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4067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67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84B82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984B82"/>
    <w:rPr>
      <w:rFonts w:ascii="Calibri" w:eastAsia="Calibri" w:hAnsi="Calibri"/>
      <w:b/>
      <w:bCs/>
      <w:lang w:eastAsia="en-US"/>
    </w:rPr>
  </w:style>
  <w:style w:type="character" w:styleId="Siln">
    <w:name w:val="Strong"/>
    <w:qFormat/>
    <w:rsid w:val="002177D5"/>
    <w:rPr>
      <w:b/>
      <w:bCs/>
    </w:rPr>
  </w:style>
  <w:style w:type="character" w:customStyle="1" w:styleId="Nadpis1Char">
    <w:name w:val="Nadpis 1 Char"/>
    <w:link w:val="Nadpis1"/>
    <w:rsid w:val="00C0701C"/>
    <w:rPr>
      <w:sz w:val="24"/>
    </w:rPr>
  </w:style>
  <w:style w:type="paragraph" w:styleId="Zkladntext">
    <w:name w:val="Body Text"/>
    <w:basedOn w:val="Normln"/>
    <w:link w:val="ZkladntextChar"/>
    <w:rsid w:val="00C0701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C0701C"/>
    <w:rPr>
      <w:rFonts w:ascii="Arial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rsid w:val="00C070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0701C"/>
  </w:style>
  <w:style w:type="character" w:styleId="Znakapoznpodarou">
    <w:name w:val="footnote reference"/>
    <w:rsid w:val="00C0701C"/>
    <w:rPr>
      <w:vertAlign w:val="superscript"/>
    </w:rPr>
  </w:style>
  <w:style w:type="character" w:customStyle="1" w:styleId="Nadpis3Char">
    <w:name w:val="Nadpis 3 Char"/>
    <w:link w:val="Nadpis3"/>
    <w:semiHidden/>
    <w:rsid w:val="00C070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C0701C"/>
  </w:style>
  <w:style w:type="character" w:customStyle="1" w:styleId="NzevChar">
    <w:name w:val="Název Char"/>
    <w:link w:val="Nzev"/>
    <w:rsid w:val="00975C7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rsid w:val="00CB3E1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Texttabulky">
    <w:name w:val="Text tabulky"/>
    <w:rsid w:val="005B2CD3"/>
    <w:rPr>
      <w:color w:val="000000"/>
    </w:rPr>
  </w:style>
  <w:style w:type="paragraph" w:customStyle="1" w:styleId="ZZOdrky">
    <w:name w:val="ZZ Odrážky"/>
    <w:basedOn w:val="Normln"/>
    <w:link w:val="ZZOdrkyChar"/>
    <w:rsid w:val="009F217B"/>
    <w:pPr>
      <w:numPr>
        <w:numId w:val="4"/>
      </w:numPr>
      <w:spacing w:before="120"/>
      <w:jc w:val="both"/>
    </w:pPr>
    <w:rPr>
      <w:rFonts w:ascii="Arial" w:hAnsi="Arial"/>
      <w:kern w:val="32"/>
      <w:sz w:val="22"/>
      <w:szCs w:val="20"/>
    </w:rPr>
  </w:style>
  <w:style w:type="character" w:customStyle="1" w:styleId="ZZOdrkyChar">
    <w:name w:val="ZZ Odrážky Char"/>
    <w:link w:val="ZZOdrky"/>
    <w:rsid w:val="009F217B"/>
    <w:rPr>
      <w:rFonts w:ascii="Arial" w:hAnsi="Arial"/>
      <w:kern w:val="32"/>
      <w:sz w:val="22"/>
    </w:rPr>
  </w:style>
  <w:style w:type="paragraph" w:customStyle="1" w:styleId="l2">
    <w:name w:val="l2"/>
    <w:basedOn w:val="Normln"/>
    <w:rsid w:val="006D4F43"/>
    <w:pPr>
      <w:spacing w:before="100" w:beforeAutospacing="1" w:after="100" w:afterAutospacing="1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2" w:type="dxa"/>
        <w:bottom w:w="0" w:type="dxa"/>
        <w:right w:w="1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pis.br@slezskadiakoni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ajdova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pis.br@slezskadiakoni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5DRN5POH6CsaOHq56Lg4Etsgw==">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Maková</cp:lastModifiedBy>
  <cp:revision>2</cp:revision>
  <dcterms:created xsi:type="dcterms:W3CDTF">2025-03-11T09:39:00Z</dcterms:created>
  <dcterms:modified xsi:type="dcterms:W3CDTF">2025-03-11T09:39:00Z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(3)">
    <vt:lpwstr>(3)</vt:lpwstr>
  </property>
  <property fmtid="{D5CDD505-2E9C-101B-9397-08002B2CF9AE}" pid="3" name="a)">
    <vt:lpwstr>a)</vt:lpwstr>
  </property>
  <property fmtid="{D5CDD505-2E9C-101B-9397-08002B2CF9AE}" pid="4" name="b)">
    <vt:lpwstr>b)</vt:lpwstr>
  </property>
  <property fmtid="{D5CDD505-2E9C-101B-9397-08002B2CF9AE}" pid="5" name="c)">
    <vt:lpwstr>c)</vt:lpwstr>
  </property>
  <property fmtid="{D5CDD505-2E9C-101B-9397-08002B2CF9AE}" pid="6" name="d)">
    <vt:lpwstr>d)</vt:lpwstr>
  </property>
  <property fmtid="{D5CDD505-2E9C-101B-9397-08002B2CF9AE}" pid="7" name="(1)">
    <vt:lpwstr>(1)</vt:lpwstr>
  </property>
  <property fmtid="{D5CDD505-2E9C-101B-9397-08002B2CF9AE}" pid="8" name="(5)">
    <vt:lpwstr>(5)</vt:lpwstr>
  </property>
  <property fmtid="{D5CDD505-2E9C-101B-9397-08002B2CF9AE}" pid="9" name="1.">
    <vt:lpwstr>1.</vt:lpwstr>
  </property>
  <property fmtid="{D5CDD505-2E9C-101B-9397-08002B2CF9AE}" pid="10" name="2.">
    <vt:lpwstr>2.</vt:lpwstr>
  </property>
  <property fmtid="{D5CDD505-2E9C-101B-9397-08002B2CF9AE}" pid="11" name="e)">
    <vt:lpwstr>e)</vt:lpwstr>
  </property>
  <property fmtid="{D5CDD505-2E9C-101B-9397-08002B2CF9AE}" pid="12" name="(6)">
    <vt:lpwstr>(6)</vt:lpwstr>
  </property>
</Properties>
</file>